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67C092">
      <w:pPr>
        <w:rPr>
          <w:rFonts w:hint="default" w:ascii="Times New Roman" w:hAnsi="Times New Roman" w:eastAsia="仿宋_GB2312" w:cs="Times New Roman"/>
          <w:color w:val="auto"/>
          <w:sz w:val="36"/>
          <w:szCs w:val="36"/>
          <w:highlight w:val="none"/>
        </w:rPr>
      </w:pPr>
    </w:p>
    <w:p w14:paraId="48832EFF">
      <w:pPr>
        <w:rPr>
          <w:rFonts w:hint="default"/>
          <w:color w:val="auto"/>
          <w:lang w:eastAsia="zh-CN"/>
        </w:rPr>
      </w:pPr>
    </w:p>
    <w:p w14:paraId="3478A787">
      <w:pPr>
        <w:rPr>
          <w:rFonts w:hint="default"/>
          <w:color w:val="auto"/>
        </w:rPr>
      </w:pPr>
    </w:p>
    <w:p w14:paraId="1BA421DB">
      <w:pPr>
        <w:rPr>
          <w:rFonts w:hint="default"/>
          <w:color w:val="auto"/>
        </w:rPr>
      </w:pPr>
    </w:p>
    <w:p w14:paraId="23969C20">
      <w:pPr>
        <w:rPr>
          <w:rFonts w:hint="default"/>
          <w:color w:val="auto"/>
        </w:rPr>
      </w:pPr>
    </w:p>
    <w:p w14:paraId="4565DB6C">
      <w:pPr>
        <w:rPr>
          <w:rFonts w:hint="default" w:ascii="Times New Roman" w:hAnsi="Times New Roman" w:eastAsia="仿宋_GB2312" w:cs="Times New Roman"/>
          <w:color w:val="auto"/>
          <w:sz w:val="36"/>
          <w:szCs w:val="36"/>
          <w:highlight w:val="none"/>
        </w:rPr>
      </w:pPr>
    </w:p>
    <w:p w14:paraId="5EA4F61D">
      <w:pPr>
        <w:adjustRightInd w:val="0"/>
        <w:snapToGrid w:val="0"/>
        <w:jc w:val="center"/>
        <w:outlineLvl w:val="0"/>
        <w:rPr>
          <w:rFonts w:hint="default" w:ascii="Times New Roman" w:hAnsi="Times New Roman" w:eastAsia="方正小标宋_GBK" w:cs="Times New Roman"/>
          <w:bCs/>
          <w:color w:val="auto"/>
          <w:sz w:val="72"/>
          <w:szCs w:val="72"/>
          <w:highlight w:val="none"/>
        </w:rPr>
      </w:pPr>
      <w:bookmarkStart w:id="0" w:name="_Toc9788"/>
      <w:r>
        <w:rPr>
          <w:rFonts w:hint="default" w:ascii="Times New Roman" w:hAnsi="Times New Roman" w:eastAsia="方正小标宋_GBK" w:cs="Times New Roman"/>
          <w:bCs/>
          <w:color w:val="auto"/>
          <w:sz w:val="72"/>
          <w:szCs w:val="72"/>
          <w:highlight w:val="none"/>
        </w:rPr>
        <w:t>建设项目环境影响报告表</w:t>
      </w:r>
      <w:bookmarkEnd w:id="0"/>
    </w:p>
    <w:p w14:paraId="728E3D33">
      <w:pPr>
        <w:adjustRightInd w:val="0"/>
        <w:snapToGrid w:val="0"/>
        <w:spacing w:before="192" w:beforeLines="80"/>
        <w:jc w:val="center"/>
        <w:rPr>
          <w:rFonts w:hint="default" w:ascii="Times New Roman" w:hAnsi="Times New Roman" w:eastAsia="楷体_GB2312" w:cs="Times New Roman"/>
          <w:bCs/>
          <w:color w:val="auto"/>
          <w:sz w:val="48"/>
          <w:szCs w:val="48"/>
          <w:highlight w:val="none"/>
        </w:rPr>
      </w:pPr>
      <w:r>
        <w:rPr>
          <w:rFonts w:hint="default" w:ascii="Times New Roman" w:hAnsi="Times New Roman" w:eastAsia="楷体_GB2312" w:cs="Times New Roman"/>
          <w:bCs/>
          <w:color w:val="auto"/>
          <w:sz w:val="48"/>
          <w:szCs w:val="48"/>
          <w:highlight w:val="none"/>
        </w:rPr>
        <w:t>（污染影响类）</w:t>
      </w:r>
    </w:p>
    <w:p w14:paraId="13F53561">
      <w:pPr>
        <w:rPr>
          <w:rFonts w:hint="default" w:ascii="Times New Roman" w:hAnsi="Times New Roman" w:eastAsia="仿宋_GB2312" w:cs="Times New Roman"/>
          <w:color w:val="auto"/>
          <w:sz w:val="36"/>
          <w:szCs w:val="36"/>
          <w:highlight w:val="none"/>
        </w:rPr>
      </w:pPr>
    </w:p>
    <w:p w14:paraId="14B5FD38">
      <w:pPr>
        <w:rPr>
          <w:rFonts w:hint="default" w:ascii="Times New Roman" w:hAnsi="Times New Roman" w:eastAsia="仿宋_GB2312" w:cs="Times New Roman"/>
          <w:color w:val="auto"/>
          <w:sz w:val="36"/>
          <w:szCs w:val="36"/>
          <w:highlight w:val="none"/>
        </w:rPr>
      </w:pPr>
    </w:p>
    <w:p w14:paraId="2A9FC4EC">
      <w:pPr>
        <w:rPr>
          <w:rFonts w:hint="default" w:ascii="Times New Roman" w:hAnsi="Times New Roman" w:eastAsia="仿宋_GB2312" w:cs="Times New Roman"/>
          <w:color w:val="auto"/>
          <w:sz w:val="36"/>
          <w:szCs w:val="36"/>
          <w:highlight w:val="none"/>
        </w:rPr>
      </w:pPr>
    </w:p>
    <w:p w14:paraId="38D2E1B3">
      <w:pPr>
        <w:rPr>
          <w:rFonts w:hint="default" w:ascii="Times New Roman" w:hAnsi="Times New Roman" w:eastAsia="仿宋_GB2312" w:cs="Times New Roman"/>
          <w:color w:val="auto"/>
          <w:sz w:val="36"/>
          <w:szCs w:val="36"/>
          <w:highlight w:val="none"/>
        </w:rPr>
      </w:pPr>
    </w:p>
    <w:p w14:paraId="254BAFD3">
      <w:pPr>
        <w:rPr>
          <w:rFonts w:hint="default" w:ascii="Times New Roman" w:hAnsi="Times New Roman" w:eastAsia="仿宋_GB2312" w:cs="Times New Roman"/>
          <w:color w:val="auto"/>
          <w:sz w:val="36"/>
          <w:szCs w:val="36"/>
          <w:highlight w:val="none"/>
        </w:rPr>
      </w:pPr>
    </w:p>
    <w:p w14:paraId="03AF0F3A">
      <w:pPr>
        <w:rPr>
          <w:rFonts w:hint="default" w:ascii="Times New Roman" w:hAnsi="Times New Roman" w:eastAsia="仿宋_GB2312" w:cs="Times New Roman"/>
          <w:color w:val="auto"/>
          <w:sz w:val="36"/>
          <w:szCs w:val="36"/>
          <w:highlight w:val="none"/>
        </w:rPr>
      </w:pPr>
    </w:p>
    <w:p w14:paraId="2D123013">
      <w:pPr>
        <w:rPr>
          <w:rFonts w:hint="default" w:ascii="Times New Roman" w:hAnsi="Times New Roman" w:eastAsia="仿宋_GB2312" w:cs="Times New Roman"/>
          <w:color w:val="auto"/>
          <w:sz w:val="36"/>
          <w:szCs w:val="36"/>
          <w:highlight w:val="none"/>
        </w:rPr>
      </w:pPr>
    </w:p>
    <w:p w14:paraId="13582CF7">
      <w:pPr>
        <w:rPr>
          <w:rFonts w:hint="default" w:ascii="Times New Roman" w:hAnsi="Times New Roman" w:eastAsia="仿宋_GB2312" w:cs="Times New Roman"/>
          <w:color w:val="auto"/>
          <w:sz w:val="36"/>
          <w:szCs w:val="36"/>
          <w:highlight w:val="none"/>
        </w:rPr>
      </w:pPr>
    </w:p>
    <w:p w14:paraId="6AD8FC29">
      <w:pPr>
        <w:rPr>
          <w:rFonts w:hint="default" w:ascii="Times New Roman" w:hAnsi="Times New Roman" w:eastAsia="仿宋_GB2312" w:cs="Times New Roman"/>
          <w:color w:val="auto"/>
          <w:sz w:val="36"/>
          <w:szCs w:val="36"/>
          <w:highlight w:val="none"/>
        </w:rPr>
      </w:pPr>
    </w:p>
    <w:p w14:paraId="75264DAE">
      <w:pPr>
        <w:keepNext w:val="0"/>
        <w:keepLines w:val="0"/>
        <w:pageBreakBefore w:val="0"/>
        <w:widowControl w:val="0"/>
        <w:kinsoku/>
        <w:wordWrap/>
        <w:overflowPunct/>
        <w:topLinePunct w:val="0"/>
        <w:autoSpaceDE/>
        <w:autoSpaceDN/>
        <w:bidi w:val="0"/>
        <w:adjustRightInd w:val="0"/>
        <w:snapToGrid w:val="0"/>
        <w:spacing w:line="288" w:lineRule="auto"/>
        <w:ind w:firstLine="720" w:firstLineChars="200"/>
        <w:textAlignment w:val="auto"/>
        <w:rPr>
          <w:rFonts w:hint="default" w:eastAsia="仿宋" w:cs="Times New Roman"/>
          <w:color w:val="auto"/>
          <w:sz w:val="36"/>
          <w:szCs w:val="36"/>
          <w:highlight w:val="none"/>
          <w:u w:val="single"/>
          <w:lang w:val="en-US" w:eastAsia="zh-CN"/>
        </w:rPr>
      </w:pPr>
      <w:r>
        <w:rPr>
          <w:rFonts w:hint="default" w:ascii="Times New Roman" w:hAnsi="Times New Roman" w:eastAsia="仿宋" w:cs="Times New Roman"/>
          <w:color w:val="auto"/>
          <w:sz w:val="36"/>
          <w:szCs w:val="36"/>
          <w:highlight w:val="none"/>
        </w:rPr>
        <w:t>项目名称：</w:t>
      </w:r>
      <w:r>
        <w:rPr>
          <w:rFonts w:hint="eastAsia" w:eastAsia="仿宋" w:cs="Times New Roman"/>
          <w:color w:val="auto"/>
          <w:sz w:val="36"/>
          <w:szCs w:val="36"/>
          <w:highlight w:val="none"/>
          <w:u w:val="single"/>
          <w:lang w:val="en-US" w:eastAsia="zh-CN"/>
        </w:rPr>
        <w:t xml:space="preserve">    山西晋煤集团赵庄煤业有限责任公司    </w:t>
      </w:r>
    </w:p>
    <w:p w14:paraId="7AC6D39A">
      <w:pPr>
        <w:keepNext w:val="0"/>
        <w:keepLines w:val="0"/>
        <w:pageBreakBefore w:val="0"/>
        <w:widowControl w:val="0"/>
        <w:kinsoku/>
        <w:wordWrap/>
        <w:overflowPunct/>
        <w:topLinePunct w:val="0"/>
        <w:autoSpaceDE/>
        <w:autoSpaceDN/>
        <w:bidi w:val="0"/>
        <w:adjustRightInd w:val="0"/>
        <w:snapToGrid w:val="0"/>
        <w:spacing w:line="288" w:lineRule="auto"/>
        <w:ind w:firstLine="2520" w:firstLineChars="700"/>
        <w:textAlignment w:val="auto"/>
        <w:rPr>
          <w:rFonts w:hint="default" w:eastAsia="仿宋" w:cs="Times New Roman"/>
          <w:color w:val="auto"/>
          <w:sz w:val="36"/>
          <w:szCs w:val="36"/>
          <w:highlight w:val="none"/>
          <w:u w:val="single"/>
          <w:lang w:val="en-US" w:eastAsia="zh-CN"/>
        </w:rPr>
      </w:pPr>
      <w:r>
        <w:rPr>
          <w:rFonts w:hint="eastAsia" w:eastAsia="仿宋" w:cs="Times New Roman"/>
          <w:color w:val="auto"/>
          <w:sz w:val="36"/>
          <w:szCs w:val="36"/>
          <w:highlight w:val="none"/>
          <w:u w:val="single"/>
          <w:lang w:val="en-US" w:eastAsia="zh-CN"/>
        </w:rPr>
        <w:t xml:space="preserve">             新建燃气锅炉项目           </w:t>
      </w:r>
    </w:p>
    <w:p w14:paraId="1EBB454D">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default" w:ascii="Times New Roman" w:hAnsi="Times New Roman" w:eastAsia="仿宋" w:cs="Times New Roman"/>
          <w:color w:val="auto"/>
          <w:sz w:val="36"/>
          <w:szCs w:val="36"/>
          <w:highlight w:val="none"/>
        </w:rPr>
      </w:pPr>
      <w:r>
        <w:rPr>
          <w:rFonts w:hint="default" w:ascii="Times New Roman" w:hAnsi="Times New Roman" w:eastAsia="仿宋" w:cs="Times New Roman"/>
          <w:color w:val="auto"/>
          <w:sz w:val="36"/>
          <w:szCs w:val="36"/>
          <w:highlight w:val="none"/>
        </w:rPr>
        <w:t>建设单位（盖章）：</w:t>
      </w:r>
      <w:r>
        <w:rPr>
          <w:rFonts w:hint="default" w:ascii="Times New Roman" w:hAnsi="Times New Roman" w:eastAsia="仿宋" w:cs="Times New Roman"/>
          <w:color w:val="auto"/>
          <w:sz w:val="36"/>
          <w:szCs w:val="36"/>
          <w:highlight w:val="none"/>
          <w:u w:val="single"/>
          <w:lang w:val="en-US" w:eastAsia="zh-CN"/>
        </w:rPr>
        <w:t xml:space="preserve"> </w:t>
      </w:r>
      <w:r>
        <w:rPr>
          <w:rFonts w:hint="eastAsia" w:eastAsia="仿宋" w:cs="Times New Roman"/>
          <w:color w:val="auto"/>
          <w:sz w:val="36"/>
          <w:szCs w:val="36"/>
          <w:highlight w:val="none"/>
          <w:u w:val="single"/>
          <w:lang w:eastAsia="zh-CN"/>
        </w:rPr>
        <w:t>山西晋煤集团赵庄煤业有限责任公司</w:t>
      </w:r>
      <w:r>
        <w:rPr>
          <w:rFonts w:hint="default" w:ascii="Times New Roman" w:hAnsi="Times New Roman" w:eastAsia="仿宋" w:cs="Times New Roman"/>
          <w:color w:val="auto"/>
          <w:sz w:val="36"/>
          <w:szCs w:val="36"/>
          <w:highlight w:val="none"/>
          <w:u w:val="single"/>
          <w:lang w:val="en-US" w:eastAsia="zh-CN"/>
        </w:rPr>
        <w:t xml:space="preserve"> </w:t>
      </w:r>
    </w:p>
    <w:p w14:paraId="4475EC46">
      <w:pPr>
        <w:keepNext w:val="0"/>
        <w:keepLines w:val="0"/>
        <w:pageBreakBefore w:val="0"/>
        <w:widowControl w:val="0"/>
        <w:kinsoku/>
        <w:wordWrap/>
        <w:overflowPunct/>
        <w:topLinePunct w:val="0"/>
        <w:autoSpaceDE/>
        <w:autoSpaceDN/>
        <w:bidi w:val="0"/>
        <w:adjustRightInd w:val="0"/>
        <w:snapToGrid w:val="0"/>
        <w:spacing w:line="288" w:lineRule="auto"/>
        <w:ind w:firstLine="737"/>
        <w:textAlignment w:val="auto"/>
        <w:rPr>
          <w:rFonts w:hint="default" w:ascii="Times New Roman" w:hAnsi="Times New Roman" w:eastAsia="仿宋" w:cs="Times New Roman"/>
          <w:color w:val="auto"/>
          <w:sz w:val="36"/>
          <w:szCs w:val="36"/>
          <w:highlight w:val="none"/>
        </w:rPr>
      </w:pPr>
      <w:r>
        <w:rPr>
          <w:rFonts w:hint="default" w:ascii="Times New Roman" w:hAnsi="Times New Roman" w:eastAsia="仿宋" w:cs="Times New Roman"/>
          <w:color w:val="auto"/>
          <w:sz w:val="36"/>
          <w:szCs w:val="36"/>
          <w:highlight w:val="none"/>
        </w:rPr>
        <w:t>编制日期：</w:t>
      </w:r>
      <w:r>
        <w:rPr>
          <w:rFonts w:hint="default" w:ascii="Times New Roman" w:hAnsi="Times New Roman" w:eastAsia="仿宋" w:cs="Times New Roman"/>
          <w:color w:val="auto"/>
          <w:sz w:val="36"/>
          <w:szCs w:val="36"/>
          <w:highlight w:val="none"/>
          <w:u w:val="single"/>
        </w:rPr>
        <w:t xml:space="preserve">      </w:t>
      </w:r>
      <w:r>
        <w:rPr>
          <w:rFonts w:hint="default" w:ascii="Times New Roman" w:hAnsi="Times New Roman"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default" w:ascii="Times New Roman" w:hAnsi="Times New Roman" w:eastAsia="仿宋" w:cs="Times New Roman"/>
          <w:color w:val="auto"/>
          <w:sz w:val="36"/>
          <w:szCs w:val="36"/>
          <w:highlight w:val="none"/>
          <w:u w:val="single"/>
          <w:lang w:val="en-US" w:eastAsia="zh-CN"/>
        </w:rPr>
        <w:t>202</w:t>
      </w:r>
      <w:r>
        <w:rPr>
          <w:rFonts w:hint="eastAsia" w:eastAsia="仿宋" w:cs="Times New Roman"/>
          <w:color w:val="auto"/>
          <w:sz w:val="36"/>
          <w:szCs w:val="36"/>
          <w:highlight w:val="none"/>
          <w:u w:val="single"/>
          <w:lang w:val="en-US" w:eastAsia="zh-CN"/>
        </w:rPr>
        <w:t>6</w:t>
      </w:r>
      <w:r>
        <w:rPr>
          <w:rFonts w:hint="default" w:ascii="Times New Roman" w:hAnsi="Times New Roman" w:eastAsia="仿宋" w:cs="Times New Roman"/>
          <w:color w:val="auto"/>
          <w:sz w:val="36"/>
          <w:szCs w:val="36"/>
          <w:highlight w:val="none"/>
          <w:u w:val="single"/>
          <w:lang w:val="en-US" w:eastAsia="zh-CN"/>
        </w:rPr>
        <w:t>年</w:t>
      </w:r>
      <w:r>
        <w:rPr>
          <w:rFonts w:hint="eastAsia" w:eastAsia="仿宋" w:cs="Times New Roman"/>
          <w:color w:val="auto"/>
          <w:sz w:val="36"/>
          <w:szCs w:val="36"/>
          <w:highlight w:val="none"/>
          <w:u w:val="single"/>
          <w:lang w:val="en-US" w:eastAsia="zh-CN"/>
        </w:rPr>
        <w:t>9</w:t>
      </w:r>
      <w:r>
        <w:rPr>
          <w:rFonts w:hint="default" w:ascii="Times New Roman" w:hAnsi="Times New Roman" w:eastAsia="仿宋" w:cs="Times New Roman"/>
          <w:color w:val="auto"/>
          <w:sz w:val="36"/>
          <w:szCs w:val="36"/>
          <w:highlight w:val="none"/>
          <w:u w:val="single"/>
          <w:lang w:val="en-US" w:eastAsia="zh-CN"/>
        </w:rPr>
        <w:t>月</w:t>
      </w:r>
      <w:r>
        <w:rPr>
          <w:rFonts w:hint="default" w:ascii="Times New Roman" w:hAnsi="Times New Roman" w:eastAsia="仿宋" w:cs="Times New Roman"/>
          <w:color w:val="auto"/>
          <w:sz w:val="36"/>
          <w:szCs w:val="36"/>
          <w:highlight w:val="none"/>
          <w:u w:val="single"/>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r>
        <w:rPr>
          <w:rFonts w:hint="eastAsia"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lang w:val="en-US" w:eastAsia="zh-CN"/>
        </w:rPr>
        <w:t xml:space="preserve"> </w:t>
      </w:r>
      <w:r>
        <w:rPr>
          <w:rFonts w:hint="default" w:ascii="Times New Roman" w:hAnsi="Times New Roman" w:eastAsia="仿宋" w:cs="Times New Roman"/>
          <w:color w:val="auto"/>
          <w:sz w:val="36"/>
          <w:szCs w:val="36"/>
          <w:highlight w:val="none"/>
          <w:u w:val="single"/>
        </w:rPr>
        <w:t xml:space="preserve">       </w:t>
      </w:r>
    </w:p>
    <w:p w14:paraId="433B52AF">
      <w:pPr>
        <w:rPr>
          <w:rFonts w:hint="default" w:ascii="Times New Roman" w:hAnsi="Times New Roman" w:eastAsia="仿宋_GB2312" w:cs="Times New Roman"/>
          <w:color w:val="auto"/>
          <w:sz w:val="36"/>
          <w:szCs w:val="36"/>
          <w:highlight w:val="none"/>
        </w:rPr>
      </w:pPr>
      <w:bookmarkStart w:id="1" w:name="_Hlk57884087"/>
    </w:p>
    <w:p w14:paraId="64785C83">
      <w:pPr>
        <w:rPr>
          <w:rFonts w:hint="default" w:ascii="Times New Roman" w:hAnsi="Times New Roman" w:eastAsia="仿宋_GB2312" w:cs="Times New Roman"/>
          <w:color w:val="auto"/>
          <w:sz w:val="36"/>
          <w:szCs w:val="36"/>
          <w:highlight w:val="none"/>
        </w:rPr>
      </w:pPr>
    </w:p>
    <w:p w14:paraId="09665E8D">
      <w:pPr>
        <w:rPr>
          <w:rFonts w:hint="default" w:ascii="Times New Roman" w:hAnsi="Times New Roman" w:eastAsia="仿宋_GB2312" w:cs="Times New Roman"/>
          <w:color w:val="auto"/>
          <w:sz w:val="36"/>
          <w:szCs w:val="36"/>
          <w:highlight w:val="none"/>
        </w:rPr>
      </w:pPr>
    </w:p>
    <w:p w14:paraId="7844D271">
      <w:pPr>
        <w:rPr>
          <w:rFonts w:hint="default" w:ascii="Times New Roman" w:hAnsi="Times New Roman" w:eastAsia="仿宋_GB2312" w:cs="Times New Roman"/>
          <w:color w:val="auto"/>
          <w:sz w:val="36"/>
          <w:szCs w:val="36"/>
          <w:highlight w:val="none"/>
        </w:rPr>
      </w:pPr>
    </w:p>
    <w:p w14:paraId="270B6660">
      <w:pPr>
        <w:rPr>
          <w:rFonts w:hint="default" w:ascii="Times New Roman" w:hAnsi="Times New Roman" w:eastAsia="仿宋_GB2312" w:cs="Times New Roman"/>
          <w:color w:val="auto"/>
          <w:sz w:val="36"/>
          <w:szCs w:val="36"/>
          <w:highlight w:val="none"/>
        </w:rPr>
      </w:pPr>
    </w:p>
    <w:bookmarkEnd w:id="1"/>
    <w:p w14:paraId="25D6C4FE">
      <w:pPr>
        <w:adjustRightInd w:val="0"/>
        <w:snapToGrid w:val="0"/>
        <w:spacing w:line="288" w:lineRule="auto"/>
        <w:jc w:val="center"/>
        <w:rPr>
          <w:rFonts w:hint="default" w:ascii="Times New Roman" w:hAnsi="Times New Roman" w:eastAsia="楷体_GB2312" w:cs="Times New Roman"/>
          <w:color w:val="auto"/>
          <w:sz w:val="36"/>
          <w:szCs w:val="36"/>
          <w:highlight w:val="none"/>
        </w:rPr>
        <w:sectPr>
          <w:footerReference r:id="rId3" w:type="default"/>
          <w:footerReference r:id="rId4" w:type="even"/>
          <w:pgSz w:w="11906" w:h="16838"/>
          <w:pgMar w:top="1701" w:right="1077" w:bottom="1701" w:left="1077" w:header="851" w:footer="1077" w:gutter="0"/>
          <w:pgBorders>
            <w:top w:val="none" w:sz="0" w:space="0"/>
            <w:left w:val="none" w:sz="0" w:space="0"/>
            <w:bottom w:val="none" w:sz="0" w:space="0"/>
            <w:right w:val="none" w:sz="0" w:space="0"/>
          </w:pgBorders>
          <w:pgNumType w:start="3"/>
          <w:cols w:space="720" w:num="1"/>
          <w:docGrid w:linePitch="312" w:charSpace="0"/>
        </w:sectPr>
      </w:pPr>
      <w:r>
        <w:rPr>
          <w:rFonts w:hint="default" w:ascii="Times New Roman" w:hAnsi="Times New Roman" w:eastAsia="楷体_GB2312" w:cs="Times New Roman"/>
          <w:color w:val="auto"/>
          <w:sz w:val="36"/>
          <w:szCs w:val="36"/>
          <w:highlight w:val="none"/>
        </w:rPr>
        <w:t>中华人民共和国生态环境部制</w:t>
      </w:r>
    </w:p>
    <w:p w14:paraId="1CCE333D">
      <w:pPr>
        <w:rPr>
          <w:rFonts w:hint="eastAsia" w:eastAsia="宋体"/>
          <w:color w:val="auto"/>
          <w:highlight w:val="none"/>
          <w:lang w:eastAsia="zh-CN"/>
        </w:rPr>
        <w:sectPr>
          <w:footerReference r:id="rId5" w:type="default"/>
          <w:pgSz w:w="11906" w:h="16838"/>
          <w:pgMar w:top="0" w:right="0" w:bottom="0" w:left="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eastAsia="宋体"/>
          <w:color w:val="auto"/>
          <w:highlight w:val="none"/>
          <w:lang w:eastAsia="zh-CN"/>
        </w:rPr>
        <w:drawing>
          <wp:inline distT="0" distB="0" distL="114300" distR="114300">
            <wp:extent cx="7450455" cy="10542270"/>
            <wp:effectExtent l="0" t="0" r="17145" b="11430"/>
            <wp:docPr id="30" name="图片 30" descr="9月封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9月封皮"/>
                    <pic:cNvPicPr>
                      <a:picLocks noChangeAspect="1"/>
                    </pic:cNvPicPr>
                  </pic:nvPicPr>
                  <pic:blipFill>
                    <a:blip r:embed="rId10"/>
                    <a:stretch>
                      <a:fillRect/>
                    </a:stretch>
                  </pic:blipFill>
                  <pic:spPr>
                    <a:xfrm>
                      <a:off x="0" y="0"/>
                      <a:ext cx="7450455" cy="10542270"/>
                    </a:xfrm>
                    <a:prstGeom prst="rect">
                      <a:avLst/>
                    </a:prstGeom>
                  </pic:spPr>
                </pic:pic>
              </a:graphicData>
            </a:graphic>
          </wp:inline>
        </w:drawing>
      </w:r>
      <w:r>
        <w:rPr>
          <w:rFonts w:hint="default" w:eastAsia="宋体"/>
          <w:color w:val="auto"/>
          <w:highlight w:val="none"/>
          <w:lang w:eastAsia="zh-CN"/>
        </w:rPr>
        <w:drawing>
          <wp:inline distT="0" distB="0" distL="114300" distR="114300">
            <wp:extent cx="7526020" cy="10605135"/>
            <wp:effectExtent l="0" t="0" r="17780" b="5715"/>
            <wp:docPr id="31" name="图片 31" descr="SCAN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SCAN0005"/>
                    <pic:cNvPicPr>
                      <a:picLocks noChangeAspect="1"/>
                    </pic:cNvPicPr>
                  </pic:nvPicPr>
                  <pic:blipFill>
                    <a:blip r:embed="rId11"/>
                    <a:srcRect t="794" r="524"/>
                    <a:stretch>
                      <a:fillRect/>
                    </a:stretch>
                  </pic:blipFill>
                  <pic:spPr>
                    <a:xfrm>
                      <a:off x="0" y="0"/>
                      <a:ext cx="7526020" cy="10605135"/>
                    </a:xfrm>
                    <a:prstGeom prst="rect">
                      <a:avLst/>
                    </a:prstGeom>
                  </pic:spPr>
                </pic:pic>
              </a:graphicData>
            </a:graphic>
          </wp:inline>
        </w:drawing>
      </w:r>
      <w:r>
        <w:rPr>
          <w:rFonts w:hint="default" w:eastAsia="宋体"/>
          <w:color w:val="auto"/>
          <w:highlight w:val="none"/>
          <w:lang w:eastAsia="zh-CN"/>
        </w:rPr>
        <w:drawing>
          <wp:inline distT="0" distB="0" distL="114300" distR="114300">
            <wp:extent cx="7510780" cy="10624820"/>
            <wp:effectExtent l="0" t="0" r="13970" b="5080"/>
            <wp:docPr id="14" name="图片 14" descr="工程师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工程师证"/>
                    <pic:cNvPicPr>
                      <a:picLocks noChangeAspect="1"/>
                    </pic:cNvPicPr>
                  </pic:nvPicPr>
                  <pic:blipFill>
                    <a:blip r:embed="rId12"/>
                    <a:stretch>
                      <a:fillRect/>
                    </a:stretch>
                  </pic:blipFill>
                  <pic:spPr>
                    <a:xfrm>
                      <a:off x="0" y="0"/>
                      <a:ext cx="7510780" cy="10624820"/>
                    </a:xfrm>
                    <a:prstGeom prst="rect">
                      <a:avLst/>
                    </a:prstGeom>
                  </pic:spPr>
                </pic:pic>
              </a:graphicData>
            </a:graphic>
          </wp:inline>
        </w:drawing>
      </w:r>
      <w:r>
        <w:rPr>
          <w:rFonts w:hint="eastAsia" w:eastAsia="宋体"/>
          <w:color w:val="auto"/>
          <w:highlight w:val="none"/>
          <w:lang w:eastAsia="zh-CN"/>
        </w:rPr>
        <w:drawing>
          <wp:inline distT="0" distB="0" distL="114300" distR="114300">
            <wp:extent cx="7502525" cy="10596245"/>
            <wp:effectExtent l="0" t="0" r="3175" b="14605"/>
            <wp:docPr id="197" name="图片 197" descr="SCAN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SCAN0000"/>
                    <pic:cNvPicPr>
                      <a:picLocks noChangeAspect="1"/>
                    </pic:cNvPicPr>
                  </pic:nvPicPr>
                  <pic:blipFill>
                    <a:blip r:embed="rId13"/>
                    <a:srcRect r="723" b="762"/>
                    <a:stretch>
                      <a:fillRect/>
                    </a:stretch>
                  </pic:blipFill>
                  <pic:spPr>
                    <a:xfrm>
                      <a:off x="0" y="0"/>
                      <a:ext cx="7502525" cy="10596245"/>
                    </a:xfrm>
                    <a:prstGeom prst="rect">
                      <a:avLst/>
                    </a:prstGeom>
                  </pic:spPr>
                </pic:pic>
              </a:graphicData>
            </a:graphic>
          </wp:inline>
        </w:drawing>
      </w:r>
    </w:p>
    <w:p w14:paraId="059CFE8D">
      <w:pPr>
        <w:rPr>
          <w:rFonts w:hint="eastAsia" w:eastAsia="宋体"/>
          <w:color w:val="auto"/>
          <w:highlight w:val="none"/>
          <w:lang w:eastAsia="zh-CN"/>
        </w:rPr>
        <w:sectPr>
          <w:pgSz w:w="11906" w:h="16838"/>
          <w:pgMar w:top="0" w:right="0" w:bottom="0" w:left="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eastAsia="宋体"/>
          <w:color w:val="auto"/>
          <w:highlight w:val="none"/>
          <w:lang w:eastAsia="zh-CN"/>
        </w:rPr>
        <w:drawing>
          <wp:inline distT="0" distB="0" distL="114300" distR="114300">
            <wp:extent cx="7536815" cy="10661015"/>
            <wp:effectExtent l="0" t="0" r="6985" b="6985"/>
            <wp:docPr id="211" name="图片 211"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营业执照"/>
                    <pic:cNvPicPr>
                      <a:picLocks noChangeAspect="1"/>
                    </pic:cNvPicPr>
                  </pic:nvPicPr>
                  <pic:blipFill>
                    <a:blip r:embed="rId14"/>
                    <a:stretch>
                      <a:fillRect/>
                    </a:stretch>
                  </pic:blipFill>
                  <pic:spPr>
                    <a:xfrm>
                      <a:off x="0" y="0"/>
                      <a:ext cx="7536815" cy="10661015"/>
                    </a:xfrm>
                    <a:prstGeom prst="rect">
                      <a:avLst/>
                    </a:prstGeom>
                  </pic:spPr>
                </pic:pic>
              </a:graphicData>
            </a:graphic>
          </wp:inline>
        </w:drawing>
      </w:r>
      <w:r>
        <w:rPr>
          <w:rFonts w:hint="eastAsia" w:eastAsia="宋体"/>
          <w:color w:val="auto"/>
          <w:highlight w:val="none"/>
          <w:lang w:eastAsia="zh-CN"/>
        </w:rPr>
        <w:drawing>
          <wp:inline distT="0" distB="0" distL="114300" distR="114300">
            <wp:extent cx="7498080" cy="10621645"/>
            <wp:effectExtent l="0" t="0" r="7620" b="8255"/>
            <wp:docPr id="151" name="图片 151" descr="SCAN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SCAN0006"/>
                    <pic:cNvPicPr>
                      <a:picLocks noChangeAspect="1"/>
                    </pic:cNvPicPr>
                  </pic:nvPicPr>
                  <pic:blipFill>
                    <a:blip r:embed="rId15"/>
                    <a:srcRect t="415" r="678"/>
                    <a:stretch>
                      <a:fillRect/>
                    </a:stretch>
                  </pic:blipFill>
                  <pic:spPr>
                    <a:xfrm>
                      <a:off x="0" y="0"/>
                      <a:ext cx="7498080" cy="10621645"/>
                    </a:xfrm>
                    <a:prstGeom prst="rect">
                      <a:avLst/>
                    </a:prstGeom>
                  </pic:spPr>
                </pic:pic>
              </a:graphicData>
            </a:graphic>
          </wp:inline>
        </w:drawing>
      </w:r>
    </w:p>
    <w:tbl>
      <w:tblPr>
        <w:tblStyle w:val="2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927"/>
        <w:gridCol w:w="4927"/>
      </w:tblGrid>
      <w:tr w14:paraId="64AA7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7" w:type="dxa"/>
            <w:tcBorders>
              <w:tl2br w:val="nil"/>
              <w:tr2bl w:val="nil"/>
            </w:tcBorders>
            <w:vAlign w:val="center"/>
          </w:tcPr>
          <w:p w14:paraId="2D8206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color w:val="auto"/>
                <w:sz w:val="24"/>
                <w:szCs w:val="24"/>
                <w:highlight w:val="none"/>
                <w:vertAlign w:val="baseline"/>
                <w:lang w:eastAsia="zh-CN"/>
              </w:rPr>
              <w:drawing>
                <wp:inline distT="0" distB="0" distL="114300" distR="114300">
                  <wp:extent cx="2958465" cy="2218690"/>
                  <wp:effectExtent l="0" t="0" r="13335" b="10160"/>
                  <wp:docPr id="45" name="图片 45" descr="微信图片_20260615084913_1499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微信图片_20260615084913_1499_23"/>
                          <pic:cNvPicPr>
                            <a:picLocks noChangeAspect="1"/>
                          </pic:cNvPicPr>
                        </pic:nvPicPr>
                        <pic:blipFill>
                          <a:blip r:embed="rId16"/>
                          <a:stretch>
                            <a:fillRect/>
                          </a:stretch>
                        </pic:blipFill>
                        <pic:spPr>
                          <a:xfrm>
                            <a:off x="0" y="0"/>
                            <a:ext cx="2958465" cy="2218690"/>
                          </a:xfrm>
                          <a:prstGeom prst="rect">
                            <a:avLst/>
                          </a:prstGeom>
                        </pic:spPr>
                      </pic:pic>
                    </a:graphicData>
                  </a:graphic>
                </wp:inline>
              </w:drawing>
            </w:r>
          </w:p>
        </w:tc>
        <w:tc>
          <w:tcPr>
            <w:tcW w:w="4927" w:type="dxa"/>
            <w:tcBorders>
              <w:tl2br w:val="nil"/>
              <w:tr2bl w:val="nil"/>
            </w:tcBorders>
            <w:vAlign w:val="center"/>
          </w:tcPr>
          <w:p w14:paraId="1194F7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4"/>
                <w:szCs w:val="24"/>
                <w:highlight w:val="none"/>
                <w:vertAlign w:val="baseline"/>
                <w:lang w:eastAsia="zh-CN"/>
              </w:rPr>
            </w:pPr>
            <w:r>
              <w:rPr>
                <w:rFonts w:hint="default" w:ascii="Times New Roman" w:hAnsi="Times New Roman" w:eastAsia="宋体" w:cs="Times New Roman"/>
                <w:color w:val="auto"/>
                <w:sz w:val="24"/>
                <w:szCs w:val="24"/>
                <w:highlight w:val="none"/>
                <w:vertAlign w:val="baseline"/>
                <w:lang w:eastAsia="zh-CN"/>
              </w:rPr>
              <w:drawing>
                <wp:inline distT="0" distB="0" distL="114300" distR="114300">
                  <wp:extent cx="2958465" cy="2218690"/>
                  <wp:effectExtent l="0" t="0" r="13335" b="10160"/>
                  <wp:docPr id="47" name="图片 47" descr="微信图片_20260615084922_1502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微信图片_20260615084922_1502_23"/>
                          <pic:cNvPicPr>
                            <a:picLocks noChangeAspect="1"/>
                          </pic:cNvPicPr>
                        </pic:nvPicPr>
                        <pic:blipFill>
                          <a:blip r:embed="rId17"/>
                          <a:stretch>
                            <a:fillRect/>
                          </a:stretch>
                        </pic:blipFill>
                        <pic:spPr>
                          <a:xfrm>
                            <a:off x="0" y="0"/>
                            <a:ext cx="2958465" cy="2218690"/>
                          </a:xfrm>
                          <a:prstGeom prst="rect">
                            <a:avLst/>
                          </a:prstGeom>
                        </pic:spPr>
                      </pic:pic>
                    </a:graphicData>
                  </a:graphic>
                </wp:inline>
              </w:drawing>
            </w:r>
          </w:p>
        </w:tc>
      </w:tr>
      <w:tr w14:paraId="160CC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7" w:type="dxa"/>
            <w:tcBorders>
              <w:tl2br w:val="nil"/>
              <w:tr2bl w:val="nil"/>
            </w:tcBorders>
            <w:vAlign w:val="center"/>
          </w:tcPr>
          <w:p w14:paraId="3B4C1B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sz w:val="24"/>
                <w:szCs w:val="24"/>
                <w:highlight w:val="none"/>
                <w:vertAlign w:val="baseline"/>
                <w:lang w:val="en-US" w:eastAsia="zh-CN"/>
              </w:rPr>
            </w:pPr>
            <w:r>
              <w:rPr>
                <w:rFonts w:hint="eastAsia" w:cs="Times New Roman"/>
                <w:b/>
                <w:bCs/>
                <w:color w:val="auto"/>
                <w:sz w:val="24"/>
                <w:szCs w:val="24"/>
                <w:highlight w:val="none"/>
                <w:vertAlign w:val="baseline"/>
                <w:lang w:val="en-US" w:eastAsia="zh-CN"/>
              </w:rPr>
              <w:t>依托现有锅炉房</w:t>
            </w:r>
          </w:p>
        </w:tc>
        <w:tc>
          <w:tcPr>
            <w:tcW w:w="4927" w:type="dxa"/>
            <w:tcBorders>
              <w:tl2br w:val="nil"/>
              <w:tr2bl w:val="nil"/>
            </w:tcBorders>
            <w:vAlign w:val="center"/>
          </w:tcPr>
          <w:p w14:paraId="30EE3E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sz w:val="24"/>
                <w:szCs w:val="24"/>
                <w:highlight w:val="none"/>
                <w:vertAlign w:val="baseline"/>
                <w:lang w:val="en-US" w:eastAsia="zh-CN"/>
              </w:rPr>
            </w:pPr>
            <w:r>
              <w:rPr>
                <w:rFonts w:hint="eastAsia" w:cs="Times New Roman"/>
                <w:b/>
                <w:bCs/>
                <w:color w:val="auto"/>
                <w:sz w:val="24"/>
                <w:szCs w:val="24"/>
                <w:highlight w:val="none"/>
                <w:vertAlign w:val="baseline"/>
                <w:lang w:val="en-US" w:eastAsia="zh-CN"/>
              </w:rPr>
              <w:t>本项目新建锅炉拟建位置</w:t>
            </w:r>
          </w:p>
        </w:tc>
      </w:tr>
      <w:tr w14:paraId="7C9C7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927" w:type="dxa"/>
            <w:tcBorders>
              <w:tl2br w:val="nil"/>
              <w:tr2bl w:val="nil"/>
            </w:tcBorders>
            <w:vAlign w:val="center"/>
          </w:tcPr>
          <w:p w14:paraId="60CB9B6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color w:val="auto"/>
                <w:kern w:val="2"/>
                <w:sz w:val="24"/>
                <w:szCs w:val="24"/>
                <w:highlight w:val="none"/>
                <w:vertAlign w:val="baseline"/>
                <w:lang w:val="en-US" w:eastAsia="zh-CN" w:bidi="ar-SA"/>
              </w:rPr>
              <w:drawing>
                <wp:inline distT="0" distB="0" distL="114300" distR="114300">
                  <wp:extent cx="2964815" cy="2223770"/>
                  <wp:effectExtent l="0" t="0" r="6985" b="5080"/>
                  <wp:docPr id="51" name="图片 51" descr="微信图片_20260615084847_1494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微信图片_20260615084847_1494_23"/>
                          <pic:cNvPicPr>
                            <a:picLocks noChangeAspect="1"/>
                          </pic:cNvPicPr>
                        </pic:nvPicPr>
                        <pic:blipFill>
                          <a:blip r:embed="rId18"/>
                          <a:stretch>
                            <a:fillRect/>
                          </a:stretch>
                        </pic:blipFill>
                        <pic:spPr>
                          <a:xfrm>
                            <a:off x="0" y="0"/>
                            <a:ext cx="2964815" cy="2223770"/>
                          </a:xfrm>
                          <a:prstGeom prst="rect">
                            <a:avLst/>
                          </a:prstGeom>
                        </pic:spPr>
                      </pic:pic>
                    </a:graphicData>
                  </a:graphic>
                </wp:inline>
              </w:drawing>
            </w:r>
          </w:p>
        </w:tc>
        <w:tc>
          <w:tcPr>
            <w:tcW w:w="4927" w:type="dxa"/>
            <w:tcBorders>
              <w:tl2br w:val="nil"/>
              <w:tr2bl w:val="nil"/>
            </w:tcBorders>
            <w:vAlign w:val="center"/>
          </w:tcPr>
          <w:p w14:paraId="0BB3A13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宋体" w:cs="Times New Roman"/>
                <w:color w:val="auto"/>
                <w:kern w:val="2"/>
                <w:sz w:val="24"/>
                <w:szCs w:val="24"/>
                <w:highlight w:val="none"/>
                <w:vertAlign w:val="baseline"/>
                <w:lang w:val="en-US" w:eastAsia="zh-CN" w:bidi="ar-SA"/>
              </w:rPr>
            </w:pPr>
            <w:r>
              <w:rPr>
                <w:rFonts w:hint="eastAsia" w:ascii="Times New Roman" w:hAnsi="Times New Roman" w:eastAsia="宋体" w:cs="Times New Roman"/>
                <w:color w:val="auto"/>
                <w:kern w:val="2"/>
                <w:sz w:val="24"/>
                <w:szCs w:val="24"/>
                <w:highlight w:val="none"/>
                <w:vertAlign w:val="baseline"/>
                <w:lang w:val="en-US" w:eastAsia="zh-CN" w:bidi="ar-SA"/>
              </w:rPr>
              <w:drawing>
                <wp:inline distT="0" distB="0" distL="114300" distR="114300">
                  <wp:extent cx="2958465" cy="2218690"/>
                  <wp:effectExtent l="0" t="0" r="13335" b="10160"/>
                  <wp:docPr id="48" name="图片 48" descr="微信图片_20260615084903_1498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微信图片_20260615084903_1498_23"/>
                          <pic:cNvPicPr>
                            <a:picLocks noChangeAspect="1"/>
                          </pic:cNvPicPr>
                        </pic:nvPicPr>
                        <pic:blipFill>
                          <a:blip r:embed="rId19"/>
                          <a:stretch>
                            <a:fillRect/>
                          </a:stretch>
                        </pic:blipFill>
                        <pic:spPr>
                          <a:xfrm>
                            <a:off x="0" y="0"/>
                            <a:ext cx="2958465" cy="2218690"/>
                          </a:xfrm>
                          <a:prstGeom prst="rect">
                            <a:avLst/>
                          </a:prstGeom>
                        </pic:spPr>
                      </pic:pic>
                    </a:graphicData>
                  </a:graphic>
                </wp:inline>
              </w:drawing>
            </w:r>
          </w:p>
        </w:tc>
      </w:tr>
      <w:tr w14:paraId="3D80F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4927" w:type="dxa"/>
            <w:tcBorders>
              <w:tl2br w:val="nil"/>
              <w:tr2bl w:val="nil"/>
            </w:tcBorders>
            <w:vAlign w:val="center"/>
          </w:tcPr>
          <w:p w14:paraId="5DDAC2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eastAsia" w:cs="Times New Roman"/>
                <w:b/>
                <w:bCs/>
                <w:color w:val="auto"/>
                <w:kern w:val="2"/>
                <w:sz w:val="24"/>
                <w:szCs w:val="24"/>
                <w:highlight w:val="none"/>
                <w:vertAlign w:val="baseline"/>
                <w:lang w:val="en-US" w:eastAsia="zh-CN" w:bidi="ar-SA"/>
              </w:rPr>
              <w:t>依托现有工程软水制备设备</w:t>
            </w:r>
          </w:p>
        </w:tc>
        <w:tc>
          <w:tcPr>
            <w:tcW w:w="4927" w:type="dxa"/>
            <w:tcBorders>
              <w:tl2br w:val="nil"/>
              <w:tr2bl w:val="nil"/>
            </w:tcBorders>
            <w:vAlign w:val="center"/>
          </w:tcPr>
          <w:p w14:paraId="4E7BD56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b/>
                <w:bCs/>
                <w:color w:val="auto"/>
                <w:kern w:val="2"/>
                <w:sz w:val="24"/>
                <w:szCs w:val="24"/>
                <w:highlight w:val="none"/>
                <w:vertAlign w:val="baseline"/>
                <w:lang w:val="en-US" w:eastAsia="zh-CN" w:bidi="ar-SA"/>
              </w:rPr>
            </w:pPr>
            <w:r>
              <w:rPr>
                <w:rFonts w:hint="eastAsia" w:cs="Times New Roman"/>
                <w:b/>
                <w:bCs/>
                <w:color w:val="auto"/>
                <w:kern w:val="2"/>
                <w:sz w:val="24"/>
                <w:szCs w:val="24"/>
                <w:highlight w:val="none"/>
                <w:vertAlign w:val="baseline"/>
                <w:lang w:val="en-US" w:eastAsia="zh-CN" w:bidi="ar-SA"/>
              </w:rPr>
              <w:t>依托现有工程软水箱</w:t>
            </w:r>
          </w:p>
        </w:tc>
      </w:tr>
    </w:tbl>
    <w:p w14:paraId="23CF6AB9">
      <w:pPr>
        <w:adjustRightInd w:val="0"/>
        <w:snapToGrid w:val="0"/>
        <w:spacing w:line="288" w:lineRule="auto"/>
        <w:jc w:val="both"/>
        <w:rPr>
          <w:rFonts w:hint="default" w:eastAsia="宋体"/>
          <w:color w:val="auto"/>
          <w:highlight w:val="none"/>
          <w:lang w:eastAsia="zh-CN"/>
        </w:rPr>
        <w:sectPr>
          <w:footerReference r:id="rId6" w:type="default"/>
          <w:pgSz w:w="11906" w:h="16838"/>
          <w:pgMar w:top="1701" w:right="1134" w:bottom="1701" w:left="1134" w:header="851" w:footer="1077" w:gutter="0"/>
          <w:pgBorders>
            <w:top w:val="none" w:sz="0" w:space="0"/>
            <w:left w:val="none" w:sz="0" w:space="0"/>
            <w:bottom w:val="none" w:sz="0" w:space="0"/>
            <w:right w:val="none" w:sz="0" w:space="0"/>
          </w:pgBorders>
          <w:pgNumType w:start="3"/>
          <w:cols w:space="720" w:num="1"/>
          <w:docGrid w:linePitch="312" w:charSpace="0"/>
        </w:sectPr>
      </w:pPr>
    </w:p>
    <w:p w14:paraId="2ABE930A">
      <w:pPr>
        <w:keepNext w:val="0"/>
        <w:keepLines w:val="0"/>
        <w:pageBreakBefore w:val="0"/>
        <w:kinsoku/>
        <w:wordWrap/>
        <w:overflowPunct/>
        <w:topLinePunct w:val="0"/>
        <w:autoSpaceDE/>
        <w:autoSpaceDN/>
        <w:bidi w:val="0"/>
        <w:spacing w:before="0" w:after="0" w:line="360" w:lineRule="auto"/>
        <w:ind w:left="0" w:leftChars="0" w:right="0" w:rightChars="0" w:firstLine="0" w:firstLineChars="0"/>
        <w:jc w:val="center"/>
        <w:textAlignment w:val="auto"/>
        <w:rPr>
          <w:rFonts w:ascii="Times New Roman" w:hAnsi="Times New Roman" w:eastAsia="宋体" w:cs="Times New Roman"/>
          <w:b/>
          <w:bCs/>
          <w:color w:val="auto"/>
          <w:sz w:val="30"/>
          <w:szCs w:val="30"/>
          <w:highlight w:val="none"/>
        </w:rPr>
        <w:sectPr>
          <w:pgSz w:w="11906" w:h="16838"/>
          <w:pgMar w:top="0" w:right="0" w:bottom="0" w:left="0" w:header="0" w:footer="0" w:gutter="0"/>
          <w:pgBorders>
            <w:top w:val="none" w:sz="0" w:space="0"/>
            <w:left w:val="none" w:sz="0" w:space="0"/>
            <w:bottom w:val="none" w:sz="0" w:space="0"/>
            <w:right w:val="none" w:sz="0" w:space="0"/>
          </w:pgBorders>
          <w:pgNumType w:start="3"/>
          <w:cols w:space="0" w:num="1"/>
          <w:rtlGutter w:val="0"/>
          <w:docGrid w:linePitch="312" w:charSpace="0"/>
        </w:sectPr>
      </w:pPr>
      <w:r>
        <w:rPr>
          <w:rFonts w:hint="default" w:cs="Times New Roman"/>
          <w:color w:val="auto"/>
          <w:sz w:val="21"/>
          <w:szCs w:val="21"/>
          <w:highlight w:val="none"/>
          <w:lang w:eastAsia="zh-CN"/>
        </w:rPr>
        <w:drawing>
          <wp:inline distT="0" distB="0" distL="114300" distR="114300">
            <wp:extent cx="7538720" cy="10643235"/>
            <wp:effectExtent l="0" t="0" r="5080" b="5715"/>
            <wp:docPr id="17" name="图片 17" descr="修改说明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修改说明1"/>
                    <pic:cNvPicPr>
                      <a:picLocks noChangeAspect="1"/>
                    </pic:cNvPicPr>
                  </pic:nvPicPr>
                  <pic:blipFill>
                    <a:blip r:embed="rId20"/>
                    <a:srcRect t="601" r="472"/>
                    <a:stretch>
                      <a:fillRect/>
                    </a:stretch>
                  </pic:blipFill>
                  <pic:spPr>
                    <a:xfrm>
                      <a:off x="0" y="0"/>
                      <a:ext cx="7538720" cy="10643235"/>
                    </a:xfrm>
                    <a:prstGeom prst="rect">
                      <a:avLst/>
                    </a:prstGeom>
                  </pic:spPr>
                </pic:pic>
              </a:graphicData>
            </a:graphic>
          </wp:inline>
        </w:drawing>
      </w:r>
      <w:r>
        <w:rPr>
          <w:rFonts w:hint="default" w:cs="Times New Roman"/>
          <w:color w:val="auto"/>
          <w:sz w:val="21"/>
          <w:szCs w:val="21"/>
          <w:highlight w:val="none"/>
          <w:lang w:eastAsia="zh-CN"/>
        </w:rPr>
        <w:drawing>
          <wp:inline distT="0" distB="0" distL="114300" distR="114300">
            <wp:extent cx="7491095" cy="10591165"/>
            <wp:effectExtent l="0" t="0" r="14605" b="635"/>
            <wp:docPr id="29" name="图片 29" descr="修改说明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修改说明2"/>
                    <pic:cNvPicPr>
                      <a:picLocks noChangeAspect="1"/>
                    </pic:cNvPicPr>
                  </pic:nvPicPr>
                  <pic:blipFill>
                    <a:blip r:embed="rId21"/>
                    <a:srcRect t="801" r="849"/>
                    <a:stretch>
                      <a:fillRect/>
                    </a:stretch>
                  </pic:blipFill>
                  <pic:spPr>
                    <a:xfrm>
                      <a:off x="0" y="0"/>
                      <a:ext cx="7491095" cy="10591165"/>
                    </a:xfrm>
                    <a:prstGeom prst="rect">
                      <a:avLst/>
                    </a:prstGeom>
                  </pic:spPr>
                </pic:pic>
              </a:graphicData>
            </a:graphic>
          </wp:inline>
        </w:drawing>
      </w:r>
    </w:p>
    <w:p w14:paraId="067F0C49">
      <w:pPr>
        <w:keepNext w:val="0"/>
        <w:keepLines w:val="0"/>
        <w:pageBreakBefore w:val="0"/>
        <w:kinsoku/>
        <w:wordWrap/>
        <w:overflowPunct/>
        <w:topLinePunct w:val="0"/>
        <w:autoSpaceDE/>
        <w:autoSpaceDN/>
        <w:bidi w:val="0"/>
        <w:spacing w:before="0" w:after="0" w:line="360" w:lineRule="auto"/>
        <w:ind w:left="0" w:leftChars="0" w:right="0" w:rightChars="0" w:firstLine="0" w:firstLineChars="0"/>
        <w:jc w:val="center"/>
        <w:textAlignment w:val="auto"/>
        <w:rPr>
          <w:rFonts w:hint="eastAsia" w:ascii="Times New Roman" w:hAnsi="Times New Roman" w:eastAsia="宋体" w:cs="Times New Roman"/>
          <w:b/>
          <w:bCs/>
          <w:color w:val="auto"/>
          <w:sz w:val="30"/>
          <w:szCs w:val="30"/>
          <w:highlight w:val="none"/>
          <w:lang w:val="en-US" w:eastAsia="zh-CN"/>
        </w:rPr>
      </w:pPr>
      <w:r>
        <w:rPr>
          <w:rFonts w:ascii="Times New Roman" w:hAnsi="Times New Roman" w:eastAsia="宋体" w:cs="Times New Roman"/>
          <w:b/>
          <w:bCs/>
          <w:color w:val="auto"/>
          <w:sz w:val="30"/>
          <w:szCs w:val="30"/>
          <w:highlight w:val="none"/>
        </w:rPr>
        <w:t>目</w:t>
      </w:r>
      <w:r>
        <w:rPr>
          <w:rFonts w:hint="eastAsia" w:ascii="Times New Roman" w:hAnsi="Times New Roman" w:eastAsia="宋体" w:cs="Times New Roman"/>
          <w:b/>
          <w:bCs/>
          <w:color w:val="auto"/>
          <w:sz w:val="30"/>
          <w:szCs w:val="30"/>
          <w:highlight w:val="none"/>
          <w:lang w:val="en-US" w:eastAsia="zh-CN"/>
        </w:rPr>
        <w:t xml:space="preserve">  </w:t>
      </w:r>
      <w:r>
        <w:rPr>
          <w:rFonts w:ascii="Times New Roman" w:hAnsi="Times New Roman" w:eastAsia="宋体" w:cs="Times New Roman"/>
          <w:b/>
          <w:bCs/>
          <w:color w:val="auto"/>
          <w:sz w:val="30"/>
          <w:szCs w:val="30"/>
          <w:highlight w:val="none"/>
        </w:rPr>
        <w:t>录</w:t>
      </w:r>
    </w:p>
    <w:p w14:paraId="1E797ABB">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aps w:val="0"/>
          <w:color w:val="auto"/>
          <w:sz w:val="24"/>
          <w:szCs w:val="24"/>
          <w:highlight w:val="none"/>
        </w:rPr>
        <w:fldChar w:fldCharType="begin"/>
      </w:r>
      <w:r>
        <w:rPr>
          <w:rFonts w:hint="default" w:ascii="Times New Roman" w:hAnsi="Times New Roman" w:eastAsia="宋体" w:cs="Times New Roman"/>
          <w:b/>
          <w:bCs/>
          <w:caps w:val="0"/>
          <w:color w:val="auto"/>
          <w:sz w:val="24"/>
          <w:szCs w:val="24"/>
          <w:highlight w:val="none"/>
        </w:rPr>
        <w:instrText xml:space="preserve">TOC \o "1-1" \h \u </w:instrText>
      </w:r>
      <w:r>
        <w:rPr>
          <w:rFonts w:hint="default" w:ascii="Times New Roman" w:hAnsi="Times New Roman" w:eastAsia="宋体" w:cs="Times New Roman"/>
          <w:b/>
          <w:bCs/>
          <w:caps w:val="0"/>
          <w:color w:val="auto"/>
          <w:sz w:val="24"/>
          <w:szCs w:val="24"/>
          <w:highlight w:val="none"/>
        </w:rPr>
        <w:fldChar w:fldCharType="separate"/>
      </w: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_Toc12561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一、建设项目基本情况</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_Toc12561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232235A3">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_Toc21071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二、建设项目工程分析</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_Toc21071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9</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5799353F">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_Toc3155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三、区域环境质量现状、环境保护目标及评价标准</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_Toc3155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23</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5AF01620">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_Toc7234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四、主要环境影响和保护措施</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_Toc7234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28</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7626EF4F">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_Toc2591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五、环境保护措施监督检查清单</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_Toc2591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43</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520442A6">
      <w:pPr>
        <w:pStyle w:val="18"/>
        <w:keepNext w:val="0"/>
        <w:keepLines w:val="0"/>
        <w:pageBreakBefore w:val="0"/>
        <w:tabs>
          <w:tab w:val="right" w:leader="dot" w:pos="8306"/>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begin"/>
      </w:r>
      <w:r>
        <w:rPr>
          <w:rFonts w:hint="default" w:ascii="Times New Roman" w:hAnsi="Times New Roman" w:eastAsia="宋体" w:cs="Times New Roman"/>
          <w:bCs/>
          <w:caps w:val="0"/>
          <w:color w:val="auto"/>
          <w:sz w:val="24"/>
          <w:szCs w:val="24"/>
          <w:highlight w:val="none"/>
        </w:rPr>
        <w:instrText xml:space="preserve"> HYPERLINK \l _Toc4819 </w:instrText>
      </w:r>
      <w:r>
        <w:rPr>
          <w:rFonts w:hint="default" w:ascii="Times New Roman" w:hAnsi="Times New Roman" w:eastAsia="宋体" w:cs="Times New Roman"/>
          <w:bCs/>
          <w:caps w:val="0"/>
          <w:color w:val="auto"/>
          <w:sz w:val="24"/>
          <w:szCs w:val="24"/>
          <w:highlight w:val="none"/>
        </w:rPr>
        <w:fldChar w:fldCharType="separate"/>
      </w:r>
      <w:r>
        <w:rPr>
          <w:rFonts w:hint="default" w:ascii="Times New Roman" w:hAnsi="Times New Roman" w:eastAsia="宋体" w:cs="Times New Roman"/>
          <w:snapToGrid w:val="0"/>
          <w:color w:val="auto"/>
          <w:sz w:val="24"/>
          <w:szCs w:val="24"/>
          <w:highlight w:val="none"/>
        </w:rPr>
        <w:t>六、结论</w:t>
      </w:r>
      <w:r>
        <w:rPr>
          <w:rFonts w:hint="default" w:ascii="Times New Roman" w:hAnsi="Times New Roman" w:eastAsia="宋体" w:cs="Times New Roman"/>
          <w:color w:val="auto"/>
          <w:sz w:val="24"/>
          <w:szCs w:val="24"/>
          <w:highlight w:val="none"/>
        </w:rPr>
        <w:tab/>
      </w:r>
      <w:r>
        <w:rPr>
          <w:rFonts w:hint="default" w:ascii="Times New Roman" w:hAnsi="Times New Roman" w:eastAsia="宋体" w:cs="Times New Roman"/>
          <w:color w:val="auto"/>
          <w:sz w:val="24"/>
          <w:szCs w:val="24"/>
          <w:highlight w:val="none"/>
        </w:rPr>
        <w:fldChar w:fldCharType="begin"/>
      </w:r>
      <w:r>
        <w:rPr>
          <w:rFonts w:hint="default" w:ascii="Times New Roman" w:hAnsi="Times New Roman" w:eastAsia="宋体" w:cs="Times New Roman"/>
          <w:color w:val="auto"/>
          <w:sz w:val="24"/>
          <w:szCs w:val="24"/>
          <w:highlight w:val="none"/>
        </w:rPr>
        <w:instrText xml:space="preserve"> PAGEREF _Toc4819 \h </w:instrText>
      </w:r>
      <w:r>
        <w:rPr>
          <w:rFonts w:hint="default" w:ascii="Times New Roman" w:hAnsi="Times New Roman" w:eastAsia="宋体" w:cs="Times New Roman"/>
          <w:color w:val="auto"/>
          <w:sz w:val="24"/>
          <w:szCs w:val="24"/>
          <w:highlight w:val="none"/>
        </w:rPr>
        <w:fldChar w:fldCharType="separate"/>
      </w:r>
      <w:r>
        <w:rPr>
          <w:rFonts w:hint="default" w:ascii="Times New Roman" w:hAnsi="Times New Roman" w:eastAsia="宋体" w:cs="Times New Roman"/>
          <w:color w:val="auto"/>
          <w:sz w:val="24"/>
          <w:szCs w:val="24"/>
          <w:highlight w:val="none"/>
        </w:rPr>
        <w:t>45</w:t>
      </w:r>
      <w:r>
        <w:rPr>
          <w:rFonts w:hint="default" w:ascii="Times New Roman" w:hAnsi="Times New Roman" w:eastAsia="宋体" w:cs="Times New Roman"/>
          <w:color w:val="auto"/>
          <w:sz w:val="24"/>
          <w:szCs w:val="24"/>
          <w:highlight w:val="none"/>
        </w:rPr>
        <w:fldChar w:fldCharType="end"/>
      </w:r>
      <w:r>
        <w:rPr>
          <w:rFonts w:hint="default" w:ascii="Times New Roman" w:hAnsi="Times New Roman" w:eastAsia="宋体" w:cs="Times New Roman"/>
          <w:bCs/>
          <w:caps w:val="0"/>
          <w:color w:val="auto"/>
          <w:sz w:val="24"/>
          <w:szCs w:val="24"/>
          <w:highlight w:val="none"/>
        </w:rPr>
        <w:fldChar w:fldCharType="end"/>
      </w:r>
    </w:p>
    <w:p w14:paraId="0C9C0C09">
      <w:pPr>
        <w:pStyle w:val="86"/>
        <w:keepNext w:val="0"/>
        <w:keepLines w:val="0"/>
        <w:pageBreakBefore w:val="0"/>
        <w:tabs>
          <w:tab w:val="right" w:leader="dot" w:pos="8844"/>
        </w:tabs>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b w:val="0"/>
          <w:bCs/>
          <w:caps w:val="0"/>
          <w:color w:val="auto"/>
          <w:sz w:val="24"/>
          <w:szCs w:val="24"/>
          <w:highlight w:val="none"/>
        </w:rPr>
      </w:pPr>
      <w:r>
        <w:rPr>
          <w:rFonts w:hint="default" w:ascii="Times New Roman" w:hAnsi="Times New Roman" w:eastAsia="宋体" w:cs="Times New Roman"/>
          <w:bCs/>
          <w:caps w:val="0"/>
          <w:color w:val="auto"/>
          <w:sz w:val="24"/>
          <w:szCs w:val="24"/>
          <w:highlight w:val="none"/>
        </w:rPr>
        <w:fldChar w:fldCharType="end"/>
      </w:r>
    </w:p>
    <w:p w14:paraId="2DD1A7BE">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附图1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地理位置图</w:t>
      </w:r>
    </w:p>
    <w:p w14:paraId="459BE4A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附图2 </w:t>
      </w:r>
      <w:r>
        <w:rPr>
          <w:rFonts w:hint="eastAsia" w:cs="Times New Roman"/>
          <w:b w:val="0"/>
          <w:bCs/>
          <w:caps w:val="0"/>
          <w:color w:val="auto"/>
          <w:sz w:val="21"/>
          <w:szCs w:val="21"/>
          <w:highlight w:val="none"/>
          <w:lang w:val="en-US" w:eastAsia="zh-CN"/>
        </w:rPr>
        <w:t xml:space="preserve"> 项目四邻关系和环保目标图（1:15000）</w:t>
      </w:r>
    </w:p>
    <w:p w14:paraId="34185856">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附图3  工业场地及项目位置平面布置图</w:t>
      </w:r>
    </w:p>
    <w:p w14:paraId="7A8FE1F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附图4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地表水系图</w:t>
      </w:r>
    </w:p>
    <w:p w14:paraId="6B0D262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附图</w:t>
      </w:r>
      <w:r>
        <w:rPr>
          <w:rFonts w:hint="eastAsia" w:cs="Times New Roman"/>
          <w:b w:val="0"/>
          <w:bCs/>
          <w:caps w:val="0"/>
          <w:color w:val="auto"/>
          <w:sz w:val="21"/>
          <w:szCs w:val="21"/>
          <w:highlight w:val="none"/>
          <w:lang w:val="en-US" w:eastAsia="zh-CN"/>
        </w:rPr>
        <w:t>5</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与辛安泉域位置关系图</w:t>
      </w:r>
    </w:p>
    <w:p w14:paraId="30F8177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附图</w:t>
      </w:r>
      <w:r>
        <w:rPr>
          <w:rFonts w:hint="eastAsia" w:cs="Times New Roman"/>
          <w:b w:val="0"/>
          <w:bCs/>
          <w:caps w:val="0"/>
          <w:color w:val="auto"/>
          <w:sz w:val="21"/>
          <w:szCs w:val="21"/>
          <w:highlight w:val="none"/>
          <w:lang w:val="en-US" w:eastAsia="zh-CN"/>
        </w:rPr>
        <w:t>6</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与长治市生态环境管控单元分布相对位置图</w:t>
      </w:r>
    </w:p>
    <w:p w14:paraId="7CC97C6F">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附图</w:t>
      </w:r>
      <w:r>
        <w:rPr>
          <w:rFonts w:hint="eastAsia" w:cs="Times New Roman"/>
          <w:b w:val="0"/>
          <w:bCs/>
          <w:caps w:val="0"/>
          <w:color w:val="auto"/>
          <w:sz w:val="21"/>
          <w:szCs w:val="21"/>
          <w:highlight w:val="none"/>
          <w:lang w:val="en-US" w:eastAsia="zh-CN"/>
        </w:rPr>
        <w:t>7</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长子县</w:t>
      </w:r>
      <w:r>
        <w:rPr>
          <w:rFonts w:hint="eastAsia" w:ascii="Times New Roman" w:hAnsi="Times New Roman" w:eastAsia="宋体" w:cs="Times New Roman"/>
          <w:b w:val="0"/>
          <w:bCs/>
          <w:caps w:val="0"/>
          <w:color w:val="auto"/>
          <w:sz w:val="21"/>
          <w:szCs w:val="21"/>
          <w:highlight w:val="none"/>
          <w:lang w:val="en-US" w:eastAsia="zh-CN"/>
        </w:rPr>
        <w:t>国土空间规划三线划定图</w:t>
      </w:r>
    </w:p>
    <w:p w14:paraId="026A7D62">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p>
    <w:p w14:paraId="27D7B0B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附件1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委托书</w:t>
      </w:r>
    </w:p>
    <w:p w14:paraId="7A6DAC9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附件2 </w:t>
      </w:r>
      <w:r>
        <w:rPr>
          <w:rFonts w:hint="eastAsia" w:cs="Times New Roman"/>
          <w:b w:val="0"/>
          <w:bCs/>
          <w:caps w:val="0"/>
          <w:color w:val="auto"/>
          <w:sz w:val="21"/>
          <w:szCs w:val="21"/>
          <w:highlight w:val="none"/>
          <w:lang w:val="en-US" w:eastAsia="zh-CN"/>
        </w:rPr>
        <w:t xml:space="preserve"> 关于建设项目投资计划的通知</w:t>
      </w:r>
    </w:p>
    <w:p w14:paraId="24621E0B">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 xml:space="preserve">附件3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营业执照</w:t>
      </w:r>
    </w:p>
    <w:p w14:paraId="38A827B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4</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采矿许可证</w:t>
      </w:r>
    </w:p>
    <w:p w14:paraId="3022848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附件5  现有工程环保手续</w:t>
      </w:r>
    </w:p>
    <w:p w14:paraId="1B7C584C">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附件6  现有工程总量批复</w:t>
      </w:r>
    </w:p>
    <w:p w14:paraId="458E00A0">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附件7  排污许可证</w:t>
      </w:r>
    </w:p>
    <w:p w14:paraId="4BF2BAC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8  现有工程监测报告</w:t>
      </w:r>
    </w:p>
    <w:p w14:paraId="15DC8A44">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9</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入河排污口设置的批复</w:t>
      </w:r>
    </w:p>
    <w:p w14:paraId="5C8DB3C7">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10  天然气成分检验报告</w:t>
      </w:r>
    </w:p>
    <w:p w14:paraId="719F1988">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11</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现状监测报告</w:t>
      </w:r>
    </w:p>
    <w:p w14:paraId="5AB5EE3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ascii="Times New Roman" w:hAnsi="Times New Roman" w:eastAsia="宋体" w:cs="Times New Roman"/>
          <w:b w:val="0"/>
          <w:bCs/>
          <w:caps w:val="0"/>
          <w:color w:val="auto"/>
          <w:sz w:val="21"/>
          <w:szCs w:val="21"/>
          <w:highlight w:val="none"/>
          <w:lang w:val="en-US" w:eastAsia="zh-CN"/>
        </w:rPr>
      </w:pPr>
      <w:r>
        <w:rPr>
          <w:rFonts w:hint="eastAsia" w:ascii="Times New Roman" w:hAnsi="Times New Roman" w:eastAsia="宋体" w:cs="Times New Roman"/>
          <w:b w:val="0"/>
          <w:bCs/>
          <w:caps w:val="0"/>
          <w:color w:val="auto"/>
          <w:sz w:val="21"/>
          <w:szCs w:val="21"/>
          <w:highlight w:val="none"/>
          <w:lang w:val="en-US" w:eastAsia="zh-CN"/>
        </w:rPr>
        <w:t>附件</w:t>
      </w:r>
      <w:r>
        <w:rPr>
          <w:rFonts w:hint="eastAsia" w:cs="Times New Roman"/>
          <w:b w:val="0"/>
          <w:bCs/>
          <w:caps w:val="0"/>
          <w:color w:val="auto"/>
          <w:sz w:val="21"/>
          <w:szCs w:val="21"/>
          <w:highlight w:val="none"/>
          <w:lang w:val="en-US" w:eastAsia="zh-CN"/>
        </w:rPr>
        <w:t>12</w:t>
      </w:r>
      <w:r>
        <w:rPr>
          <w:rFonts w:hint="eastAsia" w:ascii="Times New Roman" w:hAnsi="Times New Roman" w:eastAsia="宋体" w:cs="Times New Roman"/>
          <w:b w:val="0"/>
          <w:bCs/>
          <w:caps w:val="0"/>
          <w:color w:val="auto"/>
          <w:sz w:val="21"/>
          <w:szCs w:val="21"/>
          <w:highlight w:val="none"/>
          <w:lang w:val="en-US" w:eastAsia="zh-CN"/>
        </w:rPr>
        <w:t xml:space="preserve"> </w:t>
      </w:r>
      <w:r>
        <w:rPr>
          <w:rFonts w:hint="eastAsia" w:cs="Times New Roman"/>
          <w:b w:val="0"/>
          <w:bCs/>
          <w:caps w:val="0"/>
          <w:color w:val="auto"/>
          <w:sz w:val="21"/>
          <w:szCs w:val="21"/>
          <w:highlight w:val="none"/>
          <w:lang w:val="en-US" w:eastAsia="zh-CN"/>
        </w:rPr>
        <w:t xml:space="preserve"> </w:t>
      </w:r>
      <w:r>
        <w:rPr>
          <w:rFonts w:hint="eastAsia" w:ascii="Times New Roman" w:hAnsi="Times New Roman" w:eastAsia="宋体" w:cs="Times New Roman"/>
          <w:b w:val="0"/>
          <w:bCs/>
          <w:caps w:val="0"/>
          <w:color w:val="auto"/>
          <w:sz w:val="21"/>
          <w:szCs w:val="21"/>
          <w:highlight w:val="none"/>
          <w:lang w:val="en-US" w:eastAsia="zh-CN"/>
        </w:rPr>
        <w:t>“生态环境分区管控”研判结果</w:t>
      </w:r>
    </w:p>
    <w:p w14:paraId="26C4BF4D">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eastAsia"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附件13  技术审查意见</w:t>
      </w:r>
    </w:p>
    <w:p w14:paraId="6532C893">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cs="Times New Roman"/>
          <w:b w:val="0"/>
          <w:bCs/>
          <w:caps w:val="0"/>
          <w:color w:val="auto"/>
          <w:sz w:val="21"/>
          <w:szCs w:val="21"/>
          <w:highlight w:val="none"/>
          <w:lang w:val="en-US" w:eastAsia="zh-CN"/>
        </w:rPr>
      </w:pPr>
      <w:r>
        <w:rPr>
          <w:rFonts w:hint="eastAsia" w:cs="Times New Roman"/>
          <w:b w:val="0"/>
          <w:bCs/>
          <w:caps w:val="0"/>
          <w:color w:val="auto"/>
          <w:sz w:val="21"/>
          <w:szCs w:val="21"/>
          <w:highlight w:val="none"/>
          <w:lang w:val="en-US" w:eastAsia="zh-CN"/>
        </w:rPr>
        <w:t>附件14  总量核定意见</w:t>
      </w:r>
    </w:p>
    <w:p w14:paraId="235F5279">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p>
    <w:p w14:paraId="2023E7CA">
      <w:pPr>
        <w:keepNext w:val="0"/>
        <w:keepLines w:val="0"/>
        <w:pageBreakBefore w:val="0"/>
        <w:widowControl w:val="0"/>
        <w:kinsoku/>
        <w:wordWrap/>
        <w:overflowPunct/>
        <w:topLinePunct w:val="0"/>
        <w:autoSpaceDE/>
        <w:autoSpaceDN/>
        <w:bidi w:val="0"/>
        <w:adjustRightInd w:val="0"/>
        <w:snapToGrid w:val="0"/>
        <w:spacing w:line="320" w:lineRule="exact"/>
        <w:jc w:val="left"/>
        <w:textAlignment w:val="auto"/>
        <w:outlineLvl w:val="9"/>
        <w:rPr>
          <w:rFonts w:hint="default" w:ascii="Times New Roman" w:hAnsi="Times New Roman" w:eastAsia="宋体" w:cs="Times New Roman"/>
          <w:b w:val="0"/>
          <w:bCs/>
          <w:caps w:val="0"/>
          <w:color w:val="auto"/>
          <w:sz w:val="21"/>
          <w:szCs w:val="21"/>
          <w:highlight w:val="none"/>
          <w:lang w:val="en-US" w:eastAsia="zh-CN"/>
        </w:rPr>
      </w:pPr>
    </w:p>
    <w:p w14:paraId="1173D95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eastAsia="宋体"/>
          <w:color w:val="auto"/>
          <w:highlight w:val="none"/>
          <w:lang w:eastAsia="zh-CN"/>
        </w:rPr>
        <w:sectPr>
          <w:pgSz w:w="11906" w:h="16838"/>
          <w:pgMar w:top="1440" w:right="1800" w:bottom="1440" w:left="1800" w:header="851" w:footer="1077" w:gutter="0"/>
          <w:pgBorders>
            <w:top w:val="none" w:sz="0" w:space="0"/>
            <w:left w:val="none" w:sz="0" w:space="0"/>
            <w:bottom w:val="none" w:sz="0" w:space="0"/>
            <w:right w:val="none" w:sz="0" w:space="0"/>
          </w:pgBorders>
          <w:pgNumType w:start="3"/>
          <w:cols w:space="720" w:num="1"/>
          <w:docGrid w:linePitch="312" w:charSpace="0"/>
        </w:sectPr>
      </w:pPr>
    </w:p>
    <w:p w14:paraId="7BC0632C">
      <w:pPr>
        <w:pStyle w:val="19"/>
        <w:jc w:val="center"/>
        <w:outlineLvl w:val="0"/>
        <w:rPr>
          <w:rFonts w:hint="default" w:ascii="Times New Roman" w:hAnsi="Times New Roman" w:eastAsia="黑体" w:cs="Times New Roman"/>
          <w:snapToGrid w:val="0"/>
          <w:color w:val="auto"/>
          <w:sz w:val="30"/>
          <w:szCs w:val="30"/>
          <w:highlight w:val="none"/>
        </w:rPr>
      </w:pPr>
      <w:bookmarkStart w:id="2" w:name="_Toc12561"/>
      <w:r>
        <w:rPr>
          <w:rFonts w:hint="default" w:ascii="Times New Roman" w:hAnsi="Times New Roman" w:eastAsia="黑体" w:cs="Times New Roman"/>
          <w:snapToGrid w:val="0"/>
          <w:color w:val="auto"/>
          <w:sz w:val="30"/>
          <w:szCs w:val="30"/>
          <w:highlight w:val="none"/>
        </w:rPr>
        <w:t>一、建设项目基本情况</w:t>
      </w:r>
      <w:bookmarkEnd w:id="2"/>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18"/>
        <w:gridCol w:w="768"/>
        <w:gridCol w:w="2209"/>
        <w:gridCol w:w="2212"/>
        <w:gridCol w:w="2547"/>
      </w:tblGrid>
      <w:tr w14:paraId="47FB36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20EA9DF8">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建设项目名称</w:t>
            </w:r>
          </w:p>
        </w:tc>
        <w:tc>
          <w:tcPr>
            <w:tcW w:w="6968" w:type="dxa"/>
            <w:gridSpan w:val="3"/>
            <w:vAlign w:val="center"/>
          </w:tcPr>
          <w:p w14:paraId="01637978">
            <w:pPr>
              <w:adjustRightInd w:val="0"/>
              <w:snapToGrid w:val="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eastAsia="zh-CN"/>
              </w:rPr>
              <w:t>山西晋煤集团赵庄煤业有限责任公司新建燃气锅炉项目</w:t>
            </w:r>
          </w:p>
        </w:tc>
      </w:tr>
      <w:tr w14:paraId="37624B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6B613BA0">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项目代码</w:t>
            </w:r>
          </w:p>
        </w:tc>
        <w:tc>
          <w:tcPr>
            <w:tcW w:w="6968" w:type="dxa"/>
            <w:gridSpan w:val="3"/>
            <w:vAlign w:val="center"/>
          </w:tcPr>
          <w:p w14:paraId="41666CA4">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507A08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6F26033F">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建设单位联系人</w:t>
            </w:r>
          </w:p>
        </w:tc>
        <w:tc>
          <w:tcPr>
            <w:tcW w:w="2209" w:type="dxa"/>
            <w:vAlign w:val="center"/>
          </w:tcPr>
          <w:p w14:paraId="6324D8DD">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2212" w:type="dxa"/>
            <w:vAlign w:val="center"/>
          </w:tcPr>
          <w:p w14:paraId="5A95D3C5">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联系方式</w:t>
            </w:r>
          </w:p>
        </w:tc>
        <w:tc>
          <w:tcPr>
            <w:tcW w:w="2547" w:type="dxa"/>
            <w:vAlign w:val="center"/>
          </w:tcPr>
          <w:p w14:paraId="468F8298">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66EEA2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15C812DD">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建设地点</w:t>
            </w:r>
          </w:p>
        </w:tc>
        <w:tc>
          <w:tcPr>
            <w:tcW w:w="6968" w:type="dxa"/>
            <w:gridSpan w:val="3"/>
            <w:vAlign w:val="center"/>
          </w:tcPr>
          <w:p w14:paraId="15C4CDE3">
            <w:pPr>
              <w:adjustRightInd w:val="0"/>
              <w:snapToGrid w:val="0"/>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山西省长治市长子县慈林镇张店村赵庄煤业现有锅炉房内</w:t>
            </w:r>
          </w:p>
        </w:tc>
      </w:tr>
      <w:tr w14:paraId="5452AD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565F2CE6">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地理坐标</w:t>
            </w:r>
          </w:p>
        </w:tc>
        <w:tc>
          <w:tcPr>
            <w:tcW w:w="6968" w:type="dxa"/>
            <w:gridSpan w:val="3"/>
            <w:vAlign w:val="center"/>
          </w:tcPr>
          <w:p w14:paraId="447DBB75">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w:t>
            </w:r>
            <w:r>
              <w:rPr>
                <w:rFonts w:hint="default" w:ascii="Times New Roman" w:hAnsi="Times New Roman" w:cs="Times New Roman"/>
                <w:color w:val="auto"/>
                <w:sz w:val="21"/>
                <w:szCs w:val="21"/>
                <w:highlight w:val="none"/>
                <w:u w:val="single"/>
              </w:rPr>
              <w:t>11</w:t>
            </w:r>
            <w:r>
              <w:rPr>
                <w:rFonts w:hint="eastAsia" w:cs="Times New Roman"/>
                <w:color w:val="auto"/>
                <w:sz w:val="21"/>
                <w:szCs w:val="21"/>
                <w:highlight w:val="none"/>
                <w:u w:val="single"/>
                <w:lang w:val="en-US" w:eastAsia="zh-CN"/>
              </w:rPr>
              <w:t>2</w:t>
            </w:r>
            <w:r>
              <w:rPr>
                <w:rFonts w:hint="default" w:ascii="Times New Roman" w:hAnsi="Times New Roman" w:cs="Times New Roman"/>
                <w:color w:val="auto"/>
                <w:sz w:val="21"/>
                <w:szCs w:val="21"/>
                <w:highlight w:val="none"/>
              </w:rPr>
              <w:t>度</w:t>
            </w:r>
            <w:r>
              <w:rPr>
                <w:rFonts w:hint="eastAsia" w:cs="Times New Roman"/>
                <w:color w:val="auto"/>
                <w:sz w:val="21"/>
                <w:szCs w:val="21"/>
                <w:highlight w:val="none"/>
                <w:u w:val="single"/>
                <w:lang w:val="en-US" w:eastAsia="zh-CN"/>
              </w:rPr>
              <w:t>53</w:t>
            </w:r>
            <w:r>
              <w:rPr>
                <w:rFonts w:hint="default" w:ascii="Times New Roman" w:hAnsi="Times New Roman" w:cs="Times New Roman"/>
                <w:color w:val="auto"/>
                <w:sz w:val="21"/>
                <w:szCs w:val="21"/>
                <w:highlight w:val="none"/>
              </w:rPr>
              <w:t>分</w:t>
            </w:r>
            <w:r>
              <w:rPr>
                <w:rFonts w:hint="eastAsia" w:ascii="Times New Roman" w:hAnsi="Times New Roman" w:cs="Times New Roman"/>
                <w:color w:val="auto"/>
                <w:sz w:val="21"/>
                <w:szCs w:val="21"/>
                <w:highlight w:val="none"/>
                <w:u w:val="single"/>
                <w:lang w:val="en-US" w:eastAsia="zh-CN"/>
              </w:rPr>
              <w:t>2</w:t>
            </w:r>
            <w:r>
              <w:rPr>
                <w:rFonts w:hint="eastAsia" w:cs="Times New Roman"/>
                <w:color w:val="auto"/>
                <w:sz w:val="21"/>
                <w:szCs w:val="21"/>
                <w:highlight w:val="none"/>
                <w:u w:val="single"/>
                <w:lang w:val="en-US" w:eastAsia="zh-CN"/>
              </w:rPr>
              <w:t>0.215</w:t>
            </w:r>
            <w:r>
              <w:rPr>
                <w:rFonts w:hint="default" w:ascii="Times New Roman" w:hAnsi="Times New Roman" w:cs="Times New Roman"/>
                <w:color w:val="auto"/>
                <w:sz w:val="21"/>
                <w:szCs w:val="21"/>
                <w:highlight w:val="none"/>
              </w:rPr>
              <w:t>秒，</w:t>
            </w:r>
            <w:r>
              <w:rPr>
                <w:rFonts w:hint="default" w:ascii="Times New Roman" w:hAnsi="Times New Roman" w:cs="Times New Roman"/>
                <w:color w:val="auto"/>
                <w:sz w:val="21"/>
                <w:szCs w:val="21"/>
                <w:highlight w:val="none"/>
                <w:u w:val="single"/>
              </w:rPr>
              <w:t>3</w:t>
            </w:r>
            <w:r>
              <w:rPr>
                <w:rFonts w:hint="eastAsia" w:cs="Times New Roman"/>
                <w:color w:val="auto"/>
                <w:sz w:val="21"/>
                <w:szCs w:val="21"/>
                <w:highlight w:val="none"/>
                <w:u w:val="single"/>
                <w:lang w:val="en-US" w:eastAsia="zh-CN"/>
              </w:rPr>
              <w:t>5</w:t>
            </w:r>
            <w:r>
              <w:rPr>
                <w:rFonts w:hint="default" w:ascii="Times New Roman" w:hAnsi="Times New Roman" w:cs="Times New Roman"/>
                <w:color w:val="auto"/>
                <w:sz w:val="21"/>
                <w:szCs w:val="21"/>
                <w:highlight w:val="none"/>
              </w:rPr>
              <w:t>度</w:t>
            </w:r>
            <w:r>
              <w:rPr>
                <w:rFonts w:hint="eastAsia" w:cs="Times New Roman"/>
                <w:color w:val="auto"/>
                <w:sz w:val="21"/>
                <w:szCs w:val="21"/>
                <w:highlight w:val="none"/>
                <w:u w:val="single"/>
                <w:lang w:val="en-US" w:eastAsia="zh-CN"/>
              </w:rPr>
              <w:t>59</w:t>
            </w:r>
            <w:r>
              <w:rPr>
                <w:rFonts w:hint="default" w:ascii="Times New Roman" w:hAnsi="Times New Roman" w:cs="Times New Roman"/>
                <w:color w:val="auto"/>
                <w:sz w:val="21"/>
                <w:szCs w:val="21"/>
                <w:highlight w:val="none"/>
              </w:rPr>
              <w:t>分</w:t>
            </w:r>
            <w:r>
              <w:rPr>
                <w:rFonts w:hint="eastAsia" w:cs="Times New Roman"/>
                <w:color w:val="auto"/>
                <w:sz w:val="21"/>
                <w:szCs w:val="21"/>
                <w:highlight w:val="none"/>
                <w:u w:val="single"/>
                <w:lang w:val="en-US" w:eastAsia="zh-CN"/>
              </w:rPr>
              <w:t>38.428</w:t>
            </w:r>
            <w:r>
              <w:rPr>
                <w:rFonts w:hint="default" w:ascii="Times New Roman" w:hAnsi="Times New Roman" w:cs="Times New Roman"/>
                <w:color w:val="auto"/>
                <w:sz w:val="21"/>
                <w:szCs w:val="21"/>
                <w:highlight w:val="none"/>
              </w:rPr>
              <w:t>秒</w:t>
            </w:r>
            <w:r>
              <w:rPr>
                <w:color w:val="auto"/>
                <w:sz w:val="21"/>
                <w:szCs w:val="21"/>
                <w:highlight w:val="none"/>
              </w:rPr>
              <w:t>）</w:t>
            </w:r>
          </w:p>
        </w:tc>
      </w:tr>
      <w:tr w14:paraId="25E476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886" w:type="dxa"/>
            <w:gridSpan w:val="2"/>
            <w:tcMar>
              <w:top w:w="16" w:type="dxa"/>
              <w:left w:w="16" w:type="dxa"/>
              <w:right w:w="16" w:type="dxa"/>
            </w:tcMar>
            <w:vAlign w:val="center"/>
          </w:tcPr>
          <w:p w14:paraId="1223728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国民经济</w:t>
            </w:r>
          </w:p>
          <w:p w14:paraId="7494F27C">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行业类别</w:t>
            </w:r>
          </w:p>
        </w:tc>
        <w:tc>
          <w:tcPr>
            <w:tcW w:w="2209" w:type="dxa"/>
            <w:vAlign w:val="center"/>
          </w:tcPr>
          <w:p w14:paraId="68380546">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D4430热力生产和供应</w:t>
            </w:r>
          </w:p>
        </w:tc>
        <w:tc>
          <w:tcPr>
            <w:tcW w:w="2212" w:type="dxa"/>
            <w:vAlign w:val="center"/>
          </w:tcPr>
          <w:p w14:paraId="40616C0B">
            <w:pPr>
              <w:adjustRightInd w:val="0"/>
              <w:snapToGrid w:val="0"/>
              <w:jc w:val="center"/>
              <w:rPr>
                <w:rFonts w:hint="default" w:ascii="Times New Roman" w:hAnsi="Times New Roman" w:cs="Times New Roman"/>
                <w:color w:val="auto"/>
                <w:sz w:val="21"/>
                <w:szCs w:val="21"/>
                <w:highlight w:val="none"/>
              </w:rPr>
            </w:pPr>
            <w:bookmarkStart w:id="3" w:name="_Hlk49843745"/>
            <w:r>
              <w:rPr>
                <w:rFonts w:hint="default" w:ascii="Times New Roman" w:hAnsi="Times New Roman" w:cs="Times New Roman"/>
                <w:color w:val="auto"/>
                <w:sz w:val="21"/>
                <w:szCs w:val="21"/>
                <w:highlight w:val="none"/>
              </w:rPr>
              <w:t>建设项目</w:t>
            </w:r>
          </w:p>
          <w:p w14:paraId="4EDFD9EC">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行业类别</w:t>
            </w:r>
            <w:bookmarkEnd w:id="3"/>
          </w:p>
        </w:tc>
        <w:tc>
          <w:tcPr>
            <w:tcW w:w="2547" w:type="dxa"/>
            <w:vAlign w:val="center"/>
          </w:tcPr>
          <w:p w14:paraId="1A45A139">
            <w:pPr>
              <w:adjustRightInd w:val="0"/>
              <w:snapToGrid w:val="0"/>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四</w:t>
            </w:r>
            <w:r>
              <w:rPr>
                <w:rFonts w:hint="eastAsia" w:cs="Times New Roman"/>
                <w:color w:val="auto"/>
                <w:sz w:val="21"/>
                <w:szCs w:val="21"/>
                <w:highlight w:val="none"/>
                <w:lang w:val="en-US" w:eastAsia="zh-CN"/>
              </w:rPr>
              <w:t>十一</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电力、热力生产和供应业</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91</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热力生产和供应工程</w:t>
            </w:r>
            <w:r>
              <w:rPr>
                <w:rFonts w:hint="default"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天然气锅炉总容量1吨/小时（0.7兆瓦）以上的</w:t>
            </w:r>
          </w:p>
        </w:tc>
      </w:tr>
      <w:tr w14:paraId="2C67A3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886" w:type="dxa"/>
            <w:gridSpan w:val="2"/>
            <w:tcMar>
              <w:top w:w="16" w:type="dxa"/>
              <w:left w:w="16" w:type="dxa"/>
              <w:right w:w="16" w:type="dxa"/>
            </w:tcMar>
            <w:vAlign w:val="center"/>
          </w:tcPr>
          <w:p w14:paraId="73B1D5F7">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建设性质</w:t>
            </w:r>
          </w:p>
        </w:tc>
        <w:tc>
          <w:tcPr>
            <w:tcW w:w="2209" w:type="dxa"/>
            <w:vAlign w:val="center"/>
          </w:tcPr>
          <w:p w14:paraId="2CEECA88">
            <w:pPr>
              <w:adjustRightInd w:val="0"/>
              <w:snapToGrid w:val="0"/>
              <w:jc w:val="both"/>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新建（迁建）</w:t>
            </w:r>
          </w:p>
          <w:p w14:paraId="496FAD33">
            <w:pPr>
              <w:adjustRightInd w:val="0"/>
              <w:snapToGrid w:val="0"/>
              <w:jc w:val="both"/>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改建</w:t>
            </w:r>
          </w:p>
          <w:p w14:paraId="40F77C60">
            <w:pPr>
              <w:adjustRightInd w:val="0"/>
              <w:snapToGrid w:val="0"/>
              <w:jc w:val="both"/>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扩建</w:t>
            </w:r>
          </w:p>
          <w:p w14:paraId="19F30B62">
            <w:pPr>
              <w:adjustRightInd w:val="0"/>
              <w:snapToGrid w:val="0"/>
              <w:jc w:val="both"/>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技术改造</w:t>
            </w:r>
          </w:p>
        </w:tc>
        <w:tc>
          <w:tcPr>
            <w:tcW w:w="2212" w:type="dxa"/>
            <w:vAlign w:val="center"/>
          </w:tcPr>
          <w:p w14:paraId="185BA9EB">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建设项目</w:t>
            </w:r>
          </w:p>
          <w:p w14:paraId="14E3FE5B">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申报情形</w:t>
            </w:r>
          </w:p>
        </w:tc>
        <w:tc>
          <w:tcPr>
            <w:tcW w:w="2547" w:type="dxa"/>
            <w:vAlign w:val="center"/>
          </w:tcPr>
          <w:p w14:paraId="10C25924">
            <w:pPr>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首次申报项目</w:t>
            </w:r>
          </w:p>
          <w:p w14:paraId="69CBC959">
            <w:pPr>
              <w:jc w:val="left"/>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不予批准后再次申报项目</w:t>
            </w:r>
          </w:p>
          <w:p w14:paraId="1CBA2364">
            <w:pPr>
              <w:jc w:val="left"/>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超五年重新审核项目</w:t>
            </w:r>
          </w:p>
          <w:p w14:paraId="71E0B316">
            <w:pPr>
              <w:jc w:val="left"/>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重大变动重新报批项目</w:t>
            </w:r>
          </w:p>
        </w:tc>
      </w:tr>
      <w:tr w14:paraId="66BC81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886" w:type="dxa"/>
            <w:gridSpan w:val="2"/>
            <w:tcMar>
              <w:top w:w="16" w:type="dxa"/>
              <w:left w:w="16" w:type="dxa"/>
              <w:right w:w="16" w:type="dxa"/>
            </w:tcMar>
            <w:vAlign w:val="center"/>
          </w:tcPr>
          <w:p w14:paraId="42175DD2">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项目审批（备案）部门（选填）</w:t>
            </w:r>
          </w:p>
        </w:tc>
        <w:tc>
          <w:tcPr>
            <w:tcW w:w="2209" w:type="dxa"/>
            <w:vAlign w:val="center"/>
          </w:tcPr>
          <w:p w14:paraId="4BE49E7F">
            <w:pPr>
              <w:adjustRightInd w:val="0"/>
              <w:snapToGrid w:val="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c>
          <w:tcPr>
            <w:tcW w:w="2212" w:type="dxa"/>
            <w:vAlign w:val="center"/>
          </w:tcPr>
          <w:p w14:paraId="1B21DF6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项目审批（核准/</w:t>
            </w:r>
          </w:p>
          <w:p w14:paraId="1F90525D">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备案）文号（选填）</w:t>
            </w:r>
          </w:p>
        </w:tc>
        <w:tc>
          <w:tcPr>
            <w:tcW w:w="2547" w:type="dxa"/>
            <w:vAlign w:val="center"/>
          </w:tcPr>
          <w:p w14:paraId="05800D57">
            <w:pPr>
              <w:adjustRightInd w:val="0"/>
              <w:snapToGrid w:val="0"/>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w:t>
            </w:r>
          </w:p>
        </w:tc>
      </w:tr>
      <w:tr w14:paraId="40A941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13" w:hRule="atLeast"/>
          <w:jc w:val="center"/>
        </w:trPr>
        <w:tc>
          <w:tcPr>
            <w:tcW w:w="1886" w:type="dxa"/>
            <w:gridSpan w:val="2"/>
            <w:tcMar>
              <w:top w:w="16" w:type="dxa"/>
              <w:left w:w="16" w:type="dxa"/>
              <w:right w:w="16" w:type="dxa"/>
            </w:tcMar>
            <w:vAlign w:val="center"/>
          </w:tcPr>
          <w:p w14:paraId="281D1468">
            <w:pPr>
              <w:adjustRightInd w:val="0"/>
              <w:snapToGrid w:val="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总投资（万元）</w:t>
            </w:r>
          </w:p>
        </w:tc>
        <w:tc>
          <w:tcPr>
            <w:tcW w:w="2209" w:type="dxa"/>
            <w:vAlign w:val="center"/>
          </w:tcPr>
          <w:p w14:paraId="74FFF562">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170</w:t>
            </w:r>
          </w:p>
        </w:tc>
        <w:tc>
          <w:tcPr>
            <w:tcW w:w="2212" w:type="dxa"/>
            <w:tcMar>
              <w:top w:w="16" w:type="dxa"/>
              <w:left w:w="16" w:type="dxa"/>
              <w:right w:w="16" w:type="dxa"/>
            </w:tcMar>
            <w:vAlign w:val="center"/>
          </w:tcPr>
          <w:p w14:paraId="062503B1">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环保投资（万元）</w:t>
            </w:r>
          </w:p>
        </w:tc>
        <w:tc>
          <w:tcPr>
            <w:tcW w:w="2547" w:type="dxa"/>
            <w:vAlign w:val="center"/>
          </w:tcPr>
          <w:p w14:paraId="51B80163">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55</w:t>
            </w:r>
          </w:p>
        </w:tc>
      </w:tr>
      <w:tr w14:paraId="60F86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886" w:type="dxa"/>
            <w:gridSpan w:val="2"/>
            <w:tcMar>
              <w:top w:w="16" w:type="dxa"/>
              <w:left w:w="16" w:type="dxa"/>
              <w:right w:w="16" w:type="dxa"/>
            </w:tcMar>
            <w:vAlign w:val="center"/>
          </w:tcPr>
          <w:p w14:paraId="327109AD">
            <w:pPr>
              <w:adjustRightInd w:val="0"/>
              <w:snapToGrid w:val="0"/>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rPr>
              <w:t>环保投资占比</w:t>
            </w:r>
            <w:r>
              <w:rPr>
                <w:rFonts w:hint="eastAsia" w:cs="Times New Roman"/>
                <w:color w:val="auto"/>
                <w:sz w:val="21"/>
                <w:szCs w:val="21"/>
                <w:highlight w:val="none"/>
                <w:lang w:eastAsia="zh-CN"/>
              </w:rPr>
              <w:t>（</w:t>
            </w:r>
            <w:r>
              <w:rPr>
                <w:rFonts w:hint="eastAsia"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eastAsia="zh-CN"/>
              </w:rPr>
              <w:t>）</w:t>
            </w:r>
          </w:p>
        </w:tc>
        <w:tc>
          <w:tcPr>
            <w:tcW w:w="2209" w:type="dxa"/>
            <w:vAlign w:val="center"/>
          </w:tcPr>
          <w:p w14:paraId="73FCEE67">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32.35</w:t>
            </w:r>
          </w:p>
        </w:tc>
        <w:tc>
          <w:tcPr>
            <w:tcW w:w="2212" w:type="dxa"/>
            <w:tcMar>
              <w:top w:w="16" w:type="dxa"/>
              <w:left w:w="16" w:type="dxa"/>
              <w:right w:w="16" w:type="dxa"/>
            </w:tcMar>
            <w:vAlign w:val="center"/>
          </w:tcPr>
          <w:p w14:paraId="5DABB384">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施工工期</w:t>
            </w:r>
          </w:p>
        </w:tc>
        <w:tc>
          <w:tcPr>
            <w:tcW w:w="2547" w:type="dxa"/>
            <w:vAlign w:val="center"/>
          </w:tcPr>
          <w:p w14:paraId="700CE2B7">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w:t>
            </w:r>
            <w:r>
              <w:rPr>
                <w:rFonts w:hint="eastAsia" w:ascii="Times New Roman" w:hAnsi="Times New Roman" w:cs="Times New Roman"/>
                <w:color w:val="auto"/>
                <w:sz w:val="21"/>
                <w:szCs w:val="21"/>
                <w:highlight w:val="none"/>
                <w:lang w:val="en-US" w:eastAsia="zh-CN"/>
              </w:rPr>
              <w:t>个</w:t>
            </w:r>
            <w:r>
              <w:rPr>
                <w:rFonts w:hint="default" w:ascii="Times New Roman" w:hAnsi="Times New Roman" w:cs="Times New Roman"/>
                <w:color w:val="auto"/>
                <w:sz w:val="21"/>
                <w:szCs w:val="21"/>
                <w:highlight w:val="none"/>
                <w:lang w:val="en-US" w:eastAsia="zh-CN"/>
              </w:rPr>
              <w:t>月</w:t>
            </w:r>
          </w:p>
        </w:tc>
      </w:tr>
      <w:tr w14:paraId="53ECD3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886" w:type="dxa"/>
            <w:gridSpan w:val="2"/>
            <w:tcMar>
              <w:top w:w="16" w:type="dxa"/>
              <w:left w:w="16" w:type="dxa"/>
              <w:right w:w="16" w:type="dxa"/>
            </w:tcMar>
            <w:vAlign w:val="center"/>
          </w:tcPr>
          <w:p w14:paraId="203A7BFA">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是否开工建设</w:t>
            </w:r>
          </w:p>
        </w:tc>
        <w:tc>
          <w:tcPr>
            <w:tcW w:w="2209" w:type="dxa"/>
            <w:vAlign w:val="center"/>
          </w:tcPr>
          <w:p w14:paraId="4DB1AAE4">
            <w:pPr>
              <w:adjustRightInd w:val="0"/>
              <w:snapToGrid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否</w:t>
            </w:r>
          </w:p>
          <w:p w14:paraId="4E1F81E6">
            <w:pPr>
              <w:adjustRightInd w:val="0"/>
              <w:snapToGrid w:val="0"/>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是：</w:t>
            </w:r>
            <w:r>
              <w:rPr>
                <w:rFonts w:hint="default" w:ascii="Times New Roman" w:hAnsi="Times New Roman" w:cs="Times New Roman"/>
                <w:color w:val="auto"/>
                <w:sz w:val="21"/>
                <w:szCs w:val="21"/>
                <w:highlight w:val="none"/>
                <w:u w:val="single"/>
              </w:rPr>
              <w:t xml:space="preserve">             </w:t>
            </w:r>
          </w:p>
        </w:tc>
        <w:tc>
          <w:tcPr>
            <w:tcW w:w="2212" w:type="dxa"/>
            <w:tcMar>
              <w:top w:w="16" w:type="dxa"/>
              <w:left w:w="16" w:type="dxa"/>
              <w:right w:w="16" w:type="dxa"/>
            </w:tcMar>
            <w:vAlign w:val="center"/>
          </w:tcPr>
          <w:p w14:paraId="05DB1BE6">
            <w:pPr>
              <w:adjustRightInd w:val="0"/>
              <w:snapToGrid w:val="0"/>
              <w:jc w:val="center"/>
              <w:rPr>
                <w:rFonts w:hint="default" w:ascii="Times New Roman" w:hAnsi="Times New Roman" w:cs="Times New Roman"/>
                <w:color w:val="auto"/>
                <w:spacing w:val="-6"/>
                <w:sz w:val="21"/>
                <w:szCs w:val="21"/>
                <w:highlight w:val="none"/>
              </w:rPr>
            </w:pPr>
            <w:r>
              <w:rPr>
                <w:rFonts w:hint="default" w:ascii="Times New Roman" w:hAnsi="Times New Roman" w:cs="Times New Roman"/>
                <w:color w:val="auto"/>
                <w:spacing w:val="-6"/>
                <w:sz w:val="21"/>
                <w:szCs w:val="21"/>
                <w:highlight w:val="none"/>
              </w:rPr>
              <w:t>用地（用海）</w:t>
            </w:r>
          </w:p>
          <w:p w14:paraId="729BD2E9">
            <w:pPr>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pacing w:val="-6"/>
                <w:sz w:val="21"/>
                <w:szCs w:val="21"/>
                <w:highlight w:val="none"/>
              </w:rPr>
              <w:t>面积（m</w:t>
            </w:r>
            <w:r>
              <w:rPr>
                <w:rFonts w:hint="default" w:ascii="Times New Roman" w:hAnsi="Times New Roman" w:cs="Times New Roman"/>
                <w:color w:val="auto"/>
                <w:spacing w:val="-6"/>
                <w:sz w:val="21"/>
                <w:szCs w:val="21"/>
                <w:highlight w:val="none"/>
                <w:vertAlign w:val="superscript"/>
              </w:rPr>
              <w:t>2</w:t>
            </w:r>
            <w:r>
              <w:rPr>
                <w:rFonts w:hint="default" w:ascii="Times New Roman" w:hAnsi="Times New Roman" w:cs="Times New Roman"/>
                <w:color w:val="auto"/>
                <w:spacing w:val="-6"/>
                <w:sz w:val="21"/>
                <w:szCs w:val="21"/>
                <w:highlight w:val="none"/>
              </w:rPr>
              <w:t>）</w:t>
            </w:r>
          </w:p>
        </w:tc>
        <w:tc>
          <w:tcPr>
            <w:tcW w:w="2547" w:type="dxa"/>
            <w:vAlign w:val="center"/>
          </w:tcPr>
          <w:p w14:paraId="6A65EC95">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不新增用地（本项目占地96m</w:t>
            </w:r>
            <w:r>
              <w:rPr>
                <w:rFonts w:hint="eastAsia" w:cs="Times New Roman"/>
                <w:color w:val="auto"/>
                <w:sz w:val="21"/>
                <w:szCs w:val="21"/>
                <w:highlight w:val="none"/>
                <w:vertAlign w:val="superscript"/>
                <w:lang w:val="en-US" w:eastAsia="zh-CN"/>
              </w:rPr>
              <w:t>2</w:t>
            </w:r>
            <w:r>
              <w:rPr>
                <w:rFonts w:hint="eastAsia" w:cs="Times New Roman"/>
                <w:color w:val="auto"/>
                <w:sz w:val="21"/>
                <w:szCs w:val="21"/>
                <w:highlight w:val="none"/>
                <w:lang w:val="en-US" w:eastAsia="zh-CN"/>
              </w:rPr>
              <w:t>）</w:t>
            </w:r>
          </w:p>
        </w:tc>
      </w:tr>
      <w:tr w14:paraId="4825A1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886" w:type="dxa"/>
            <w:gridSpan w:val="2"/>
            <w:vAlign w:val="center"/>
          </w:tcPr>
          <w:p w14:paraId="37110A70">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专项评价</w:t>
            </w:r>
          </w:p>
          <w:p w14:paraId="44E7AC86">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设置情况</w:t>
            </w:r>
          </w:p>
        </w:tc>
        <w:tc>
          <w:tcPr>
            <w:tcW w:w="6968" w:type="dxa"/>
            <w:gridSpan w:val="3"/>
            <w:vAlign w:val="center"/>
          </w:tcPr>
          <w:p w14:paraId="1485AE6E">
            <w:pPr>
              <w:autoSpaceDE w:val="0"/>
              <w:autoSpaceDN w:val="0"/>
              <w:adjustRightInd w:val="0"/>
              <w:snapToGrid w:val="0"/>
              <w:jc w:val="center"/>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rPr>
              <w:t>无</w:t>
            </w:r>
          </w:p>
        </w:tc>
      </w:tr>
      <w:tr w14:paraId="58D4F5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886" w:type="dxa"/>
            <w:gridSpan w:val="2"/>
            <w:vAlign w:val="center"/>
          </w:tcPr>
          <w:p w14:paraId="264863A3">
            <w:pPr>
              <w:autoSpaceDE w:val="0"/>
              <w:autoSpaceDN w:val="0"/>
              <w:adjustRightInd w:val="0"/>
              <w:snapToGrid w:val="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sz w:val="21"/>
                <w:szCs w:val="21"/>
                <w:highlight w:val="none"/>
              </w:rPr>
              <w:t>规划情况</w:t>
            </w:r>
          </w:p>
        </w:tc>
        <w:tc>
          <w:tcPr>
            <w:tcW w:w="6968" w:type="dxa"/>
            <w:gridSpan w:val="3"/>
            <w:vAlign w:val="center"/>
          </w:tcPr>
          <w:p w14:paraId="69B2A155">
            <w:pPr>
              <w:keepNext w:val="0"/>
              <w:keepLines w:val="0"/>
              <w:pageBreakBefore w:val="0"/>
              <w:widowControl w:val="0"/>
              <w:kinsoku/>
              <w:wordWrap/>
              <w:overflowPunct/>
              <w:topLinePunct w:val="0"/>
              <w:autoSpaceDE w:val="0"/>
              <w:autoSpaceDN w:val="0"/>
              <w:bidi w:val="0"/>
              <w:adjustRightInd w:val="0"/>
              <w:snapToGrid w:val="0"/>
              <w:spacing w:line="480" w:lineRule="exact"/>
              <w:jc w:val="center"/>
              <w:textAlignment w:val="auto"/>
              <w:rPr>
                <w:rFonts w:hint="default" w:ascii="Times New Roman" w:hAnsi="Times New Roman" w:eastAsia="宋体"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无</w:t>
            </w:r>
          </w:p>
        </w:tc>
      </w:tr>
      <w:tr w14:paraId="0BFA47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886" w:type="dxa"/>
            <w:gridSpan w:val="2"/>
            <w:vAlign w:val="center"/>
          </w:tcPr>
          <w:p w14:paraId="38BEAA1C">
            <w:pPr>
              <w:autoSpaceDE w:val="0"/>
              <w:autoSpaceDN w:val="0"/>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规划环境影响</w:t>
            </w:r>
          </w:p>
          <w:p w14:paraId="394ADC26">
            <w:pPr>
              <w:autoSpaceDE w:val="0"/>
              <w:autoSpaceDN w:val="0"/>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评价情况</w:t>
            </w:r>
          </w:p>
        </w:tc>
        <w:tc>
          <w:tcPr>
            <w:tcW w:w="6968" w:type="dxa"/>
            <w:gridSpan w:val="3"/>
            <w:vAlign w:val="center"/>
          </w:tcPr>
          <w:p w14:paraId="4F953A35">
            <w:pPr>
              <w:keepNext w:val="0"/>
              <w:keepLines w:val="0"/>
              <w:pageBreakBefore w:val="0"/>
              <w:widowControl w:val="0"/>
              <w:kinsoku/>
              <w:wordWrap/>
              <w:overflowPunct/>
              <w:topLinePunct w:val="0"/>
              <w:autoSpaceDE w:val="0"/>
              <w:autoSpaceDN w:val="0"/>
              <w:bidi w:val="0"/>
              <w:adjustRightInd w:val="0"/>
              <w:snapToGrid w:val="0"/>
              <w:spacing w:line="480" w:lineRule="exact"/>
              <w:jc w:val="center"/>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无</w:t>
            </w:r>
          </w:p>
        </w:tc>
      </w:tr>
      <w:tr w14:paraId="49B87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886" w:type="dxa"/>
            <w:gridSpan w:val="2"/>
            <w:vAlign w:val="center"/>
          </w:tcPr>
          <w:p w14:paraId="3FDC4F6F">
            <w:pPr>
              <w:autoSpaceDE w:val="0"/>
              <w:autoSpaceDN w:val="0"/>
              <w:adjustRightInd w:val="0"/>
              <w:snapToGrid w:val="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rPr>
              <w:t>规划及规划环境影响评价符合性分析</w:t>
            </w:r>
          </w:p>
        </w:tc>
        <w:tc>
          <w:tcPr>
            <w:tcW w:w="6968" w:type="dxa"/>
            <w:gridSpan w:val="3"/>
            <w:vAlign w:val="center"/>
          </w:tcPr>
          <w:p w14:paraId="31C4C42B">
            <w:pPr>
              <w:keepNext w:val="0"/>
              <w:keepLines w:val="0"/>
              <w:pageBreakBefore w:val="0"/>
              <w:widowControl w:val="0"/>
              <w:kinsoku/>
              <w:wordWrap/>
              <w:overflowPunct/>
              <w:topLinePunct w:val="0"/>
              <w:autoSpaceDE w:val="0"/>
              <w:autoSpaceDN w:val="0"/>
              <w:bidi w:val="0"/>
              <w:adjustRightInd w:val="0"/>
              <w:snapToGrid w:val="0"/>
              <w:spacing w:line="480" w:lineRule="exact"/>
              <w:jc w:val="center"/>
              <w:textAlignment w:val="auto"/>
              <w:rPr>
                <w:rFonts w:hint="eastAsia" w:cs="Times New Roman"/>
                <w:color w:val="auto"/>
                <w:kern w:val="0"/>
                <w:sz w:val="24"/>
                <w:szCs w:val="24"/>
                <w:highlight w:val="none"/>
                <w:lang w:val="en-US" w:eastAsia="zh-CN"/>
              </w:rPr>
            </w:pPr>
            <w:r>
              <w:rPr>
                <w:rFonts w:hint="eastAsia" w:cs="Times New Roman"/>
                <w:color w:val="auto"/>
                <w:kern w:val="0"/>
                <w:sz w:val="24"/>
                <w:szCs w:val="24"/>
                <w:highlight w:val="none"/>
                <w:lang w:val="en-US" w:eastAsia="zh-CN"/>
              </w:rPr>
              <w:t>无</w:t>
            </w:r>
          </w:p>
        </w:tc>
      </w:tr>
      <w:tr w14:paraId="567C2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118" w:type="dxa"/>
            <w:vAlign w:val="center"/>
          </w:tcPr>
          <w:p w14:paraId="0CC8DEE2">
            <w:pPr>
              <w:autoSpaceDE w:val="0"/>
              <w:autoSpaceDN w:val="0"/>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其他符合性分析</w:t>
            </w:r>
          </w:p>
        </w:tc>
        <w:tc>
          <w:tcPr>
            <w:tcW w:w="7736" w:type="dxa"/>
            <w:gridSpan w:val="4"/>
            <w:vAlign w:val="center"/>
          </w:tcPr>
          <w:p w14:paraId="1A51EE43">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kern w:val="0"/>
                <w:sz w:val="24"/>
                <w:szCs w:val="24"/>
                <w:highlight w:val="none"/>
              </w:rPr>
            </w:pPr>
            <w:r>
              <w:rPr>
                <w:rFonts w:hint="eastAsia" w:ascii="Times New Roman" w:hAnsi="Times New Roman" w:eastAsia="宋体" w:cs="Times New Roman"/>
                <w:b/>
                <w:bCs/>
                <w:color w:val="auto"/>
                <w:kern w:val="0"/>
                <w:sz w:val="24"/>
                <w:szCs w:val="24"/>
                <w:highlight w:val="none"/>
                <w:lang w:val="en-US" w:eastAsia="zh-CN"/>
              </w:rPr>
              <w:t>1.</w:t>
            </w:r>
            <w:r>
              <w:rPr>
                <w:rFonts w:hint="eastAsia" w:cs="Times New Roman"/>
                <w:b/>
                <w:bCs/>
                <w:color w:val="auto"/>
                <w:kern w:val="0"/>
                <w:sz w:val="24"/>
                <w:szCs w:val="24"/>
                <w:highlight w:val="none"/>
                <w:lang w:val="en-US" w:eastAsia="zh-CN"/>
              </w:rPr>
              <w:t>1</w:t>
            </w:r>
            <w:r>
              <w:rPr>
                <w:rFonts w:hint="default" w:ascii="Times New Roman" w:hAnsi="Times New Roman" w:eastAsia="宋体" w:cs="Times New Roman"/>
                <w:b/>
                <w:bCs/>
                <w:color w:val="auto"/>
                <w:kern w:val="0"/>
                <w:sz w:val="24"/>
                <w:szCs w:val="24"/>
                <w:highlight w:val="none"/>
                <w:lang w:val="en-US" w:eastAsia="zh-CN"/>
              </w:rPr>
              <w:t>与长治市2023年度生态环境分区管控动态更新成果符合性分析</w:t>
            </w:r>
          </w:p>
          <w:p w14:paraId="2EBB0A9F">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eastAsia" w:ascii="Times New Roman" w:hAnsi="Times New Roman" w:eastAsia="宋体" w:cs="Times New Roman"/>
                <w:bCs/>
                <w:color w:val="auto"/>
                <w:spacing w:val="6"/>
                <w:kern w:val="2"/>
                <w:sz w:val="24"/>
                <w:highlight w:val="none"/>
                <w:lang w:val="en-US" w:eastAsia="zh-CN"/>
              </w:rPr>
              <w:t>根据《山西省生态环境分区管控成果动态更新工作方案》（晋环函〔2023〕149号）、“长治市2023年度生态环境分区管控动态更新成果公告”，且查阅山西省“三线一单”数据管理及应用平台，本项目位于“一般管控单元”，管控单元编码：ZH14042830001，管控单元名称为：长治市长子县一般管控单元。符合性分析见表1.1-1。</w:t>
            </w:r>
          </w:p>
          <w:p w14:paraId="08604483">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kern w:val="0"/>
                <w:sz w:val="21"/>
                <w:szCs w:val="20"/>
                <w:highlight w:val="none"/>
                <w:lang w:val="en-US" w:eastAsia="zh-CN" w:bidi="ar-SA"/>
              </w:rPr>
            </w:pPr>
            <w:r>
              <w:rPr>
                <w:rFonts w:hint="default" w:ascii="Times New Roman" w:hAnsi="Times New Roman" w:eastAsia="黑体" w:cs="Times New Roman"/>
                <w:iCs/>
                <w:snapToGrid w:val="0"/>
                <w:color w:val="auto"/>
                <w:kern w:val="0"/>
                <w:sz w:val="21"/>
                <w:szCs w:val="20"/>
                <w:highlight w:val="none"/>
                <w:lang w:val="en-US" w:eastAsia="zh-CN" w:bidi="ar-SA"/>
              </w:rPr>
              <w:t>表1</w:t>
            </w:r>
            <w:r>
              <w:rPr>
                <w:rFonts w:hint="eastAsia" w:ascii="Times New Roman" w:hAnsi="Times New Roman" w:eastAsia="黑体" w:cs="Times New Roman"/>
                <w:iCs/>
                <w:snapToGrid w:val="0"/>
                <w:color w:val="auto"/>
                <w:kern w:val="0"/>
                <w:sz w:val="21"/>
                <w:szCs w:val="20"/>
                <w:highlight w:val="none"/>
                <w:lang w:val="en-US" w:eastAsia="zh-CN" w:bidi="ar-SA"/>
              </w:rPr>
              <w:t>.</w:t>
            </w:r>
            <w:r>
              <w:rPr>
                <w:rFonts w:hint="eastAsia" w:eastAsia="黑体" w:cs="Times New Roman"/>
                <w:iCs/>
                <w:snapToGrid w:val="0"/>
                <w:color w:val="auto"/>
                <w:kern w:val="0"/>
                <w:sz w:val="21"/>
                <w:szCs w:val="20"/>
                <w:highlight w:val="none"/>
                <w:lang w:val="en-US" w:eastAsia="zh-CN" w:bidi="ar-SA"/>
              </w:rPr>
              <w:t>1</w:t>
            </w:r>
            <w:r>
              <w:rPr>
                <w:rFonts w:hint="eastAsia" w:ascii="Times New Roman" w:hAnsi="Times New Roman" w:eastAsia="黑体" w:cs="Times New Roman"/>
                <w:iCs/>
                <w:snapToGrid w:val="0"/>
                <w:color w:val="auto"/>
                <w:kern w:val="0"/>
                <w:sz w:val="21"/>
                <w:szCs w:val="20"/>
                <w:highlight w:val="none"/>
                <w:lang w:val="en-US" w:eastAsia="zh-CN" w:bidi="ar-SA"/>
              </w:rPr>
              <w:t>-1</w:t>
            </w:r>
            <w:r>
              <w:rPr>
                <w:rFonts w:hint="default" w:ascii="Times New Roman" w:hAnsi="Times New Roman" w:eastAsia="黑体" w:cs="Times New Roman"/>
                <w:iCs/>
                <w:snapToGrid w:val="0"/>
                <w:color w:val="auto"/>
                <w:kern w:val="0"/>
                <w:sz w:val="21"/>
                <w:szCs w:val="20"/>
                <w:highlight w:val="none"/>
                <w:lang w:val="en-US" w:eastAsia="zh-CN" w:bidi="ar-SA"/>
              </w:rPr>
              <w:t xml:space="preserve">  与生态环境</w:t>
            </w:r>
            <w:r>
              <w:rPr>
                <w:rFonts w:hint="eastAsia" w:eastAsia="黑体" w:cs="Times New Roman"/>
                <w:iCs/>
                <w:snapToGrid w:val="0"/>
                <w:color w:val="auto"/>
                <w:kern w:val="0"/>
                <w:sz w:val="21"/>
                <w:szCs w:val="20"/>
                <w:highlight w:val="none"/>
                <w:lang w:val="en-US" w:eastAsia="zh-CN" w:bidi="ar-SA"/>
              </w:rPr>
              <w:t>分区管控</w:t>
            </w:r>
            <w:r>
              <w:rPr>
                <w:rFonts w:hint="default" w:ascii="Times New Roman" w:hAnsi="Times New Roman" w:eastAsia="黑体" w:cs="Times New Roman"/>
                <w:iCs/>
                <w:snapToGrid w:val="0"/>
                <w:color w:val="auto"/>
                <w:kern w:val="0"/>
                <w:sz w:val="21"/>
                <w:szCs w:val="20"/>
                <w:highlight w:val="none"/>
                <w:lang w:val="en-US" w:eastAsia="zh-CN" w:bidi="ar-SA"/>
              </w:rPr>
              <w:t>要求的符合性分析</w:t>
            </w:r>
          </w:p>
          <w:tbl>
            <w:tblPr>
              <w:tblStyle w:val="24"/>
              <w:tblW w:w="75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15"/>
              <w:gridCol w:w="921"/>
              <w:gridCol w:w="713"/>
              <w:gridCol w:w="966"/>
              <w:gridCol w:w="2100"/>
              <w:gridCol w:w="1793"/>
            </w:tblGrid>
            <w:tr w14:paraId="0FB3E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15" w:type="dxa"/>
                  <w:tcBorders>
                    <w:tl2br w:val="nil"/>
                    <w:tr2bl w:val="nil"/>
                  </w:tcBorders>
                  <w:vAlign w:val="center"/>
                </w:tcPr>
                <w:p w14:paraId="3B909EA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环境管控单元编码</w:t>
                  </w:r>
                </w:p>
              </w:tc>
              <w:tc>
                <w:tcPr>
                  <w:tcW w:w="921" w:type="dxa"/>
                  <w:tcBorders>
                    <w:tl2br w:val="nil"/>
                    <w:tr2bl w:val="nil"/>
                  </w:tcBorders>
                  <w:vAlign w:val="center"/>
                </w:tcPr>
                <w:p w14:paraId="2AF824FB">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环境管控单元名称</w:t>
                  </w:r>
                </w:p>
              </w:tc>
              <w:tc>
                <w:tcPr>
                  <w:tcW w:w="713" w:type="dxa"/>
                  <w:tcBorders>
                    <w:tl2br w:val="nil"/>
                    <w:tr2bl w:val="nil"/>
                  </w:tcBorders>
                  <w:vAlign w:val="center"/>
                </w:tcPr>
                <w:p w14:paraId="0917161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管控单元分类</w:t>
                  </w:r>
                </w:p>
              </w:tc>
              <w:tc>
                <w:tcPr>
                  <w:tcW w:w="966" w:type="dxa"/>
                  <w:tcBorders>
                    <w:tl2br w:val="nil"/>
                    <w:tr2bl w:val="nil"/>
                  </w:tcBorders>
                  <w:shd w:val="clear" w:color="auto" w:fill="auto"/>
                  <w:vAlign w:val="center"/>
                </w:tcPr>
                <w:p w14:paraId="3544EA4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管控类别</w:t>
                  </w:r>
                </w:p>
              </w:tc>
              <w:tc>
                <w:tcPr>
                  <w:tcW w:w="2100" w:type="dxa"/>
                  <w:tcBorders>
                    <w:tl2br w:val="nil"/>
                    <w:tr2bl w:val="nil"/>
                  </w:tcBorders>
                  <w:vAlign w:val="center"/>
                </w:tcPr>
                <w:p w14:paraId="51623B9F">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管控要求</w:t>
                  </w:r>
                </w:p>
              </w:tc>
              <w:tc>
                <w:tcPr>
                  <w:tcW w:w="1793" w:type="dxa"/>
                  <w:tcBorders>
                    <w:tl2br w:val="nil"/>
                    <w:tr2bl w:val="nil"/>
                  </w:tcBorders>
                  <w:vAlign w:val="center"/>
                </w:tcPr>
                <w:p w14:paraId="1FC6706D">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符合性分析</w:t>
                  </w:r>
                </w:p>
              </w:tc>
            </w:tr>
            <w:tr w14:paraId="3BD3D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15" w:type="dxa"/>
                  <w:vMerge w:val="restart"/>
                  <w:tcBorders>
                    <w:tl2br w:val="nil"/>
                    <w:tr2bl w:val="nil"/>
                  </w:tcBorders>
                  <w:vAlign w:val="center"/>
                </w:tcPr>
                <w:p w14:paraId="369E4CB2">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ZH14042830001</w:t>
                  </w:r>
                </w:p>
              </w:tc>
              <w:tc>
                <w:tcPr>
                  <w:tcW w:w="921" w:type="dxa"/>
                  <w:vMerge w:val="restart"/>
                  <w:tcBorders>
                    <w:tl2br w:val="nil"/>
                    <w:tr2bl w:val="nil"/>
                  </w:tcBorders>
                  <w:vAlign w:val="center"/>
                </w:tcPr>
                <w:p w14:paraId="43035E9C">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长治市长子县一般管控单元</w:t>
                  </w:r>
                </w:p>
              </w:tc>
              <w:tc>
                <w:tcPr>
                  <w:tcW w:w="713" w:type="dxa"/>
                  <w:vMerge w:val="restart"/>
                  <w:tcBorders>
                    <w:tl2br w:val="nil"/>
                    <w:tr2bl w:val="nil"/>
                  </w:tcBorders>
                  <w:vAlign w:val="center"/>
                </w:tcPr>
                <w:p w14:paraId="6FFCF939">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一般管控单元</w:t>
                  </w:r>
                </w:p>
              </w:tc>
              <w:tc>
                <w:tcPr>
                  <w:tcW w:w="966" w:type="dxa"/>
                  <w:tcBorders>
                    <w:tl2br w:val="nil"/>
                    <w:tr2bl w:val="nil"/>
                  </w:tcBorders>
                  <w:shd w:val="clear" w:color="auto" w:fill="auto"/>
                  <w:vAlign w:val="center"/>
                </w:tcPr>
                <w:p w14:paraId="7C050B88">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空间布局约束</w:t>
                  </w:r>
                </w:p>
              </w:tc>
              <w:tc>
                <w:tcPr>
                  <w:tcW w:w="2100" w:type="dxa"/>
                  <w:tcBorders>
                    <w:tl2br w:val="nil"/>
                    <w:tr2bl w:val="nil"/>
                  </w:tcBorders>
                  <w:vAlign w:val="center"/>
                </w:tcPr>
                <w:p w14:paraId="791A3DAA">
                  <w:pPr>
                    <w:keepNext w:val="0"/>
                    <w:keepLines w:val="0"/>
                    <w:pageBreakBefore w:val="0"/>
                    <w:widowControl w:val="0"/>
                    <w:numPr>
                      <w:ilvl w:val="0"/>
                      <w:numId w:val="3"/>
                    </w:numPr>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执行山西省、长治市空间布局准入的要求。</w:t>
                  </w:r>
                </w:p>
                <w:p w14:paraId="125C0AD2">
                  <w:pPr>
                    <w:keepNext w:val="0"/>
                    <w:keepLines w:val="0"/>
                    <w:pageBreakBefore w:val="0"/>
                    <w:widowControl w:val="0"/>
                    <w:numPr>
                      <w:ilvl w:val="0"/>
                      <w:numId w:val="3"/>
                    </w:numPr>
                    <w:kinsoku/>
                    <w:wordWrap/>
                    <w:overflowPunct/>
                    <w:topLinePunct w:val="0"/>
                    <w:autoSpaceDE/>
                    <w:autoSpaceDN/>
                    <w:bidi w:val="0"/>
                    <w:adjustRightInd w:val="0"/>
                    <w:snapToGrid w:val="0"/>
                    <w:spacing w:line="320" w:lineRule="exact"/>
                    <w:ind w:left="0" w:leftChars="0"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排放大气污染物的工业项目应当按照规划和环境保护规定进入工业园区。</w:t>
                  </w:r>
                </w:p>
                <w:p w14:paraId="741D1463">
                  <w:pPr>
                    <w:keepNext w:val="0"/>
                    <w:keepLines w:val="0"/>
                    <w:pageBreakBefore w:val="0"/>
                    <w:widowControl w:val="0"/>
                    <w:numPr>
                      <w:ilvl w:val="0"/>
                      <w:numId w:val="0"/>
                    </w:numPr>
                    <w:kinsoku/>
                    <w:wordWrap/>
                    <w:overflowPunct/>
                    <w:topLinePunct w:val="0"/>
                    <w:autoSpaceDE/>
                    <w:autoSpaceDN/>
                    <w:bidi w:val="0"/>
                    <w:adjustRightInd w:val="0"/>
                    <w:snapToGrid w:val="0"/>
                    <w:spacing w:line="320" w:lineRule="exact"/>
                    <w:ind w:left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3.禁止在邻近基本农田区域排放重金属和多环芳烃、石油烃等有机污染物的开发建设活动。</w:t>
                  </w:r>
                </w:p>
              </w:tc>
              <w:tc>
                <w:tcPr>
                  <w:tcW w:w="1793" w:type="dxa"/>
                  <w:tcBorders>
                    <w:tl2br w:val="nil"/>
                    <w:tr2bl w:val="nil"/>
                  </w:tcBorders>
                  <w:vAlign w:val="center"/>
                </w:tcPr>
                <w:p w14:paraId="1585B32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w:t>
                  </w:r>
                  <w:r>
                    <w:rPr>
                      <w:rFonts w:hint="eastAsia" w:ascii="Times New Roman" w:hAnsi="Times New Roman" w:eastAsia="宋体" w:cs="Times New Roman"/>
                      <w:color w:val="auto"/>
                      <w:kern w:val="2"/>
                      <w:sz w:val="21"/>
                      <w:szCs w:val="21"/>
                      <w:highlight w:val="none"/>
                      <w:lang w:val="en-US" w:eastAsia="zh-CN" w:bidi="ar-SA"/>
                    </w:rPr>
                    <w:t>属于</w:t>
                  </w:r>
                  <w:r>
                    <w:rPr>
                      <w:rFonts w:hint="eastAsia" w:cs="Times New Roman"/>
                      <w:color w:val="auto"/>
                      <w:kern w:val="2"/>
                      <w:sz w:val="21"/>
                      <w:szCs w:val="21"/>
                      <w:highlight w:val="none"/>
                      <w:lang w:val="en-US" w:eastAsia="zh-CN" w:bidi="ar-SA"/>
                    </w:rPr>
                    <w:t>燃气热水锅炉供热项目</w:t>
                  </w:r>
                  <w:r>
                    <w:rPr>
                      <w:rFonts w:hint="eastAsia" w:ascii="Times New Roman" w:hAnsi="Times New Roman" w:eastAsia="宋体" w:cs="Times New Roman"/>
                      <w:color w:val="auto"/>
                      <w:kern w:val="2"/>
                      <w:sz w:val="21"/>
                      <w:szCs w:val="21"/>
                      <w:highlight w:val="none"/>
                      <w:lang w:val="en-US" w:eastAsia="zh-CN" w:bidi="ar-SA"/>
                    </w:rPr>
                    <w:t>，</w:t>
                  </w:r>
                  <w:r>
                    <w:rPr>
                      <w:rFonts w:hint="eastAsia"/>
                      <w:color w:val="auto"/>
                      <w:szCs w:val="21"/>
                      <w:highlight w:val="none"/>
                      <w:lang w:val="en-US" w:eastAsia="zh-CN"/>
                    </w:rPr>
                    <w:t>建设符合</w:t>
                  </w:r>
                  <w:r>
                    <w:rPr>
                      <w:rFonts w:hint="eastAsia"/>
                      <w:color w:val="auto"/>
                      <w:szCs w:val="21"/>
                      <w:highlight w:val="none"/>
                    </w:rPr>
                    <w:t>山西省、</w:t>
                  </w:r>
                  <w:r>
                    <w:rPr>
                      <w:rFonts w:hint="eastAsia"/>
                      <w:color w:val="auto"/>
                      <w:szCs w:val="21"/>
                      <w:highlight w:val="none"/>
                      <w:lang w:val="en-US" w:eastAsia="zh-CN"/>
                    </w:rPr>
                    <w:t>长治</w:t>
                  </w:r>
                  <w:r>
                    <w:rPr>
                      <w:rFonts w:hint="eastAsia"/>
                      <w:color w:val="auto"/>
                      <w:szCs w:val="21"/>
                      <w:highlight w:val="none"/>
                    </w:rPr>
                    <w:t>市空间布局的准入要求</w:t>
                  </w:r>
                  <w:r>
                    <w:rPr>
                      <w:rFonts w:hint="eastAsia"/>
                      <w:color w:val="auto"/>
                      <w:szCs w:val="21"/>
                      <w:highlight w:val="none"/>
                      <w:lang w:eastAsia="zh-CN"/>
                    </w:rPr>
                    <w:t>。</w:t>
                  </w:r>
                  <w:r>
                    <w:rPr>
                      <w:rFonts w:hint="eastAsia"/>
                      <w:color w:val="auto"/>
                      <w:szCs w:val="21"/>
                      <w:highlight w:val="none"/>
                      <w:lang w:val="en-US" w:eastAsia="zh-CN"/>
                    </w:rPr>
                    <w:t>项目位于现有锅炉房内，不新增占地、不涉及基本农田。</w:t>
                  </w:r>
                </w:p>
              </w:tc>
            </w:tr>
            <w:tr w14:paraId="4684D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15" w:type="dxa"/>
                  <w:vMerge w:val="continue"/>
                  <w:tcBorders>
                    <w:tl2br w:val="nil"/>
                    <w:tr2bl w:val="nil"/>
                  </w:tcBorders>
                  <w:vAlign w:val="center"/>
                </w:tcPr>
                <w:p w14:paraId="7411DF3F">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921" w:type="dxa"/>
                  <w:vMerge w:val="continue"/>
                  <w:tcBorders>
                    <w:tl2br w:val="nil"/>
                    <w:tr2bl w:val="nil"/>
                  </w:tcBorders>
                  <w:vAlign w:val="center"/>
                </w:tcPr>
                <w:p w14:paraId="3663DEB7">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713" w:type="dxa"/>
                  <w:vMerge w:val="continue"/>
                  <w:tcBorders>
                    <w:tl2br w:val="nil"/>
                    <w:tr2bl w:val="nil"/>
                  </w:tcBorders>
                  <w:vAlign w:val="center"/>
                </w:tcPr>
                <w:p w14:paraId="586D026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966" w:type="dxa"/>
                  <w:tcBorders>
                    <w:tl2br w:val="nil"/>
                    <w:tr2bl w:val="nil"/>
                  </w:tcBorders>
                  <w:shd w:val="clear" w:color="auto" w:fill="auto"/>
                  <w:vAlign w:val="center"/>
                </w:tcPr>
                <w:p w14:paraId="7689ED14">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污染物排放管控</w:t>
                  </w:r>
                </w:p>
              </w:tc>
              <w:tc>
                <w:tcPr>
                  <w:tcW w:w="2100" w:type="dxa"/>
                  <w:tcBorders>
                    <w:tl2br w:val="nil"/>
                    <w:tr2bl w:val="nil"/>
                  </w:tcBorders>
                  <w:vAlign w:val="center"/>
                </w:tcPr>
                <w:p w14:paraId="76FC85D5">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r>
                    <w:rPr>
                      <w:rFonts w:hint="eastAsia"/>
                      <w:color w:val="auto"/>
                      <w:szCs w:val="21"/>
                      <w:highlight w:val="none"/>
                      <w:lang w:val="en-US" w:eastAsia="zh-CN"/>
                    </w:rPr>
                    <w:t>1.</w:t>
                  </w:r>
                  <w:r>
                    <w:rPr>
                      <w:rFonts w:hint="eastAsia"/>
                      <w:color w:val="auto"/>
                      <w:szCs w:val="21"/>
                      <w:highlight w:val="none"/>
                    </w:rPr>
                    <w:t>执行山西省、</w:t>
                  </w:r>
                  <w:r>
                    <w:rPr>
                      <w:rFonts w:hint="eastAsia"/>
                      <w:color w:val="auto"/>
                      <w:szCs w:val="21"/>
                      <w:highlight w:val="none"/>
                      <w:lang w:val="en-US" w:eastAsia="zh-CN"/>
                    </w:rPr>
                    <w:t>长治</w:t>
                  </w:r>
                  <w:r>
                    <w:rPr>
                      <w:rFonts w:hint="eastAsia"/>
                      <w:color w:val="auto"/>
                      <w:szCs w:val="21"/>
                      <w:highlight w:val="none"/>
                    </w:rPr>
                    <w:t xml:space="preserve">市的污染物排放控制要求。 </w:t>
                  </w:r>
                </w:p>
              </w:tc>
              <w:tc>
                <w:tcPr>
                  <w:tcW w:w="1793" w:type="dxa"/>
                  <w:tcBorders>
                    <w:tl2br w:val="nil"/>
                    <w:tr2bl w:val="nil"/>
                  </w:tcBorders>
                  <w:vAlign w:val="center"/>
                </w:tcPr>
                <w:p w14:paraId="633B71B8">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本项目</w:t>
                  </w:r>
                  <w:r>
                    <w:rPr>
                      <w:rFonts w:hint="eastAsia" w:ascii="Times New Roman" w:hAnsi="Times New Roman" w:eastAsia="宋体" w:cs="Times New Roman"/>
                      <w:color w:val="auto"/>
                      <w:kern w:val="2"/>
                      <w:sz w:val="21"/>
                      <w:szCs w:val="21"/>
                      <w:highlight w:val="none"/>
                      <w:lang w:val="en-US" w:eastAsia="zh-CN" w:bidi="ar-SA"/>
                    </w:rPr>
                    <w:t>属于</w:t>
                  </w:r>
                  <w:r>
                    <w:rPr>
                      <w:rFonts w:hint="eastAsia" w:cs="Times New Roman"/>
                      <w:color w:val="auto"/>
                      <w:kern w:val="2"/>
                      <w:sz w:val="21"/>
                      <w:szCs w:val="21"/>
                      <w:highlight w:val="none"/>
                      <w:lang w:val="en-US" w:eastAsia="zh-CN" w:bidi="ar-SA"/>
                    </w:rPr>
                    <w:t>燃气热水锅炉供热项目</w:t>
                  </w:r>
                  <w:r>
                    <w:rPr>
                      <w:rFonts w:hint="eastAsia" w:ascii="Times New Roman" w:hAnsi="Times New Roman" w:eastAsia="宋体" w:cs="Times New Roman"/>
                      <w:color w:val="auto"/>
                      <w:kern w:val="2"/>
                      <w:sz w:val="21"/>
                      <w:szCs w:val="21"/>
                      <w:highlight w:val="none"/>
                      <w:lang w:val="en-US" w:eastAsia="zh-CN" w:bidi="ar-SA"/>
                    </w:rPr>
                    <w:t>，</w:t>
                  </w:r>
                  <w:r>
                    <w:rPr>
                      <w:rFonts w:hint="eastAsia" w:ascii="Times New Roman" w:hAnsi="Times New Roman" w:cs="Times New Roman"/>
                      <w:color w:val="auto"/>
                      <w:kern w:val="2"/>
                      <w:sz w:val="21"/>
                      <w:szCs w:val="21"/>
                      <w:highlight w:val="none"/>
                      <w:lang w:val="en-US" w:eastAsia="zh-CN" w:bidi="ar-SA"/>
                    </w:rPr>
                    <w:t>污染物均满足《锅炉大气污染物排放标准》（DB14/1929-2019）中要求。</w:t>
                  </w:r>
                </w:p>
              </w:tc>
            </w:tr>
            <w:tr w14:paraId="61E085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15" w:type="dxa"/>
                  <w:vMerge w:val="continue"/>
                  <w:tcBorders>
                    <w:tl2br w:val="nil"/>
                    <w:tr2bl w:val="nil"/>
                  </w:tcBorders>
                  <w:vAlign w:val="center"/>
                </w:tcPr>
                <w:p w14:paraId="4C64594C">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921" w:type="dxa"/>
                  <w:vMerge w:val="continue"/>
                  <w:tcBorders>
                    <w:tl2br w:val="nil"/>
                    <w:tr2bl w:val="nil"/>
                  </w:tcBorders>
                  <w:vAlign w:val="center"/>
                </w:tcPr>
                <w:p w14:paraId="7D08C9A2">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713" w:type="dxa"/>
                  <w:vMerge w:val="continue"/>
                  <w:tcBorders>
                    <w:tl2br w:val="nil"/>
                    <w:tr2bl w:val="nil"/>
                  </w:tcBorders>
                  <w:vAlign w:val="center"/>
                </w:tcPr>
                <w:p w14:paraId="6D4A2597">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966" w:type="dxa"/>
                  <w:tcBorders>
                    <w:tl2br w:val="nil"/>
                    <w:tr2bl w:val="nil"/>
                  </w:tcBorders>
                  <w:shd w:val="clear" w:color="auto" w:fill="auto"/>
                  <w:vAlign w:val="center"/>
                </w:tcPr>
                <w:p w14:paraId="407CB31E">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环境风险防控</w:t>
                  </w:r>
                </w:p>
              </w:tc>
              <w:tc>
                <w:tcPr>
                  <w:tcW w:w="2100" w:type="dxa"/>
                  <w:tcBorders>
                    <w:tl2br w:val="nil"/>
                    <w:tr2bl w:val="nil"/>
                  </w:tcBorders>
                  <w:vAlign w:val="center"/>
                </w:tcPr>
                <w:p w14:paraId="6DF9A6C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w:t>
                  </w:r>
                </w:p>
              </w:tc>
              <w:tc>
                <w:tcPr>
                  <w:tcW w:w="1793" w:type="dxa"/>
                  <w:tcBorders>
                    <w:tl2br w:val="nil"/>
                    <w:tr2bl w:val="nil"/>
                  </w:tcBorders>
                  <w:vAlign w:val="center"/>
                </w:tcPr>
                <w:p w14:paraId="2F8960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33F6C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15" w:type="dxa"/>
                  <w:vMerge w:val="continue"/>
                  <w:tcBorders>
                    <w:tl2br w:val="nil"/>
                    <w:tr2bl w:val="nil"/>
                  </w:tcBorders>
                  <w:vAlign w:val="center"/>
                </w:tcPr>
                <w:p w14:paraId="307CD28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p>
              </w:tc>
              <w:tc>
                <w:tcPr>
                  <w:tcW w:w="921" w:type="dxa"/>
                  <w:vMerge w:val="continue"/>
                  <w:tcBorders>
                    <w:tl2br w:val="nil"/>
                    <w:tr2bl w:val="nil"/>
                  </w:tcBorders>
                  <w:vAlign w:val="center"/>
                </w:tcPr>
                <w:p w14:paraId="1FDCA30F">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713" w:type="dxa"/>
                  <w:vMerge w:val="continue"/>
                  <w:tcBorders>
                    <w:tl2br w:val="nil"/>
                    <w:tr2bl w:val="nil"/>
                  </w:tcBorders>
                  <w:vAlign w:val="center"/>
                </w:tcPr>
                <w:p w14:paraId="187B988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both"/>
                    <w:textAlignment w:val="auto"/>
                    <w:rPr>
                      <w:rFonts w:hint="default" w:ascii="Times New Roman" w:hAnsi="Times New Roman" w:eastAsia="宋体" w:cs="Times New Roman"/>
                      <w:color w:val="auto"/>
                      <w:sz w:val="21"/>
                      <w:szCs w:val="21"/>
                      <w:highlight w:val="none"/>
                    </w:rPr>
                  </w:pPr>
                </w:p>
              </w:tc>
              <w:tc>
                <w:tcPr>
                  <w:tcW w:w="966" w:type="dxa"/>
                  <w:tcBorders>
                    <w:tl2br w:val="nil"/>
                    <w:tr2bl w:val="nil"/>
                  </w:tcBorders>
                  <w:shd w:val="clear" w:color="auto" w:fill="auto"/>
                  <w:vAlign w:val="center"/>
                </w:tcPr>
                <w:p w14:paraId="756E38CE">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资源开发效率要求</w:t>
                  </w:r>
                </w:p>
              </w:tc>
              <w:tc>
                <w:tcPr>
                  <w:tcW w:w="2100" w:type="dxa"/>
                  <w:tcBorders>
                    <w:tl2br w:val="nil"/>
                    <w:tr2bl w:val="nil"/>
                  </w:tcBorders>
                  <w:vAlign w:val="center"/>
                </w:tcPr>
                <w:p w14:paraId="4229B094">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1793" w:type="dxa"/>
                  <w:tcBorders>
                    <w:tl2br w:val="nil"/>
                    <w:tr2bl w:val="nil"/>
                  </w:tcBorders>
                  <w:vAlign w:val="center"/>
                </w:tcPr>
                <w:p w14:paraId="08100B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bl>
          <w:p w14:paraId="257E2228">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rPr>
            </w:pPr>
            <w:r>
              <w:rPr>
                <w:rFonts w:hint="default" w:ascii="Times New Roman" w:hAnsi="Times New Roman" w:eastAsia="宋体" w:cs="Times New Roman"/>
                <w:bCs/>
                <w:color w:val="auto"/>
                <w:spacing w:val="6"/>
                <w:kern w:val="2"/>
                <w:sz w:val="24"/>
                <w:highlight w:val="none"/>
              </w:rPr>
              <w:t>综上所述，</w:t>
            </w:r>
            <w:r>
              <w:rPr>
                <w:rFonts w:hint="eastAsia" w:ascii="Times New Roman" w:hAnsi="Times New Roman" w:cs="Times New Roman"/>
                <w:color w:val="auto"/>
                <w:sz w:val="24"/>
                <w:highlight w:val="none"/>
                <w:lang w:val="en-US" w:eastAsia="zh-CN"/>
              </w:rPr>
              <w:t>项目建设符合长治市生态环境分区管控成果动态更新结果中相关要求</w:t>
            </w:r>
            <w:r>
              <w:rPr>
                <w:rFonts w:hint="default" w:ascii="Times New Roman" w:hAnsi="Times New Roman" w:eastAsia="宋体" w:cs="Times New Roman"/>
                <w:bCs/>
                <w:color w:val="auto"/>
                <w:spacing w:val="6"/>
                <w:kern w:val="2"/>
                <w:sz w:val="24"/>
                <w:highlight w:val="none"/>
              </w:rPr>
              <w:t>。</w:t>
            </w:r>
          </w:p>
          <w:p w14:paraId="333EDB31">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kern w:val="0"/>
                <w:sz w:val="24"/>
                <w:szCs w:val="24"/>
                <w:highlight w:val="none"/>
                <w:lang w:eastAsia="zh-CN"/>
              </w:rPr>
            </w:pPr>
            <w:r>
              <w:rPr>
                <w:rFonts w:hint="eastAsia" w:ascii="Times New Roman" w:hAnsi="Times New Roman" w:eastAsia="宋体" w:cs="Times New Roman"/>
                <w:b/>
                <w:bCs/>
                <w:color w:val="auto"/>
                <w:kern w:val="0"/>
                <w:sz w:val="24"/>
                <w:szCs w:val="24"/>
                <w:highlight w:val="none"/>
                <w:lang w:val="en-US" w:eastAsia="zh-CN"/>
              </w:rPr>
              <w:t>1.</w:t>
            </w:r>
            <w:r>
              <w:rPr>
                <w:rFonts w:hint="eastAsia" w:cs="Times New Roman"/>
                <w:b/>
                <w:bCs/>
                <w:color w:val="auto"/>
                <w:kern w:val="0"/>
                <w:sz w:val="24"/>
                <w:szCs w:val="24"/>
                <w:highlight w:val="none"/>
                <w:lang w:val="en-US" w:eastAsia="zh-CN"/>
              </w:rPr>
              <w:t>2</w:t>
            </w:r>
            <w:r>
              <w:rPr>
                <w:rFonts w:hint="eastAsia" w:ascii="Times New Roman" w:hAnsi="Times New Roman" w:eastAsia="宋体" w:cs="Times New Roman"/>
                <w:b/>
                <w:bCs/>
                <w:color w:val="auto"/>
                <w:kern w:val="0"/>
                <w:sz w:val="24"/>
                <w:szCs w:val="24"/>
                <w:highlight w:val="none"/>
                <w:lang w:val="en-US" w:eastAsia="zh-CN"/>
              </w:rPr>
              <w:t xml:space="preserve"> </w:t>
            </w:r>
            <w:r>
              <w:rPr>
                <w:rFonts w:hint="default" w:ascii="Times New Roman" w:hAnsi="Times New Roman" w:eastAsia="宋体" w:cs="Times New Roman"/>
                <w:b/>
                <w:bCs/>
                <w:color w:val="auto"/>
                <w:kern w:val="0"/>
                <w:sz w:val="24"/>
                <w:szCs w:val="24"/>
                <w:highlight w:val="none"/>
                <w:lang w:eastAsia="zh-CN"/>
              </w:rPr>
              <w:t>产业政策相符性分析</w:t>
            </w:r>
          </w:p>
          <w:p w14:paraId="51B2785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val="en-US" w:eastAsia="zh-CN"/>
              </w:rPr>
              <w:t>本项目所属行业为</w:t>
            </w:r>
            <w:r>
              <w:rPr>
                <w:rFonts w:hint="eastAsia" w:cs="Times New Roman"/>
                <w:color w:val="auto"/>
                <w:kern w:val="0"/>
                <w:sz w:val="24"/>
                <w:szCs w:val="24"/>
                <w:highlight w:val="none"/>
                <w:lang w:val="en-US" w:eastAsia="zh-CN"/>
              </w:rPr>
              <w:t>D4430热力生产和供应</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eastAsia="zh-CN"/>
              </w:rPr>
              <w:t>根据《产业结构调整指导目录（</w:t>
            </w:r>
            <w:r>
              <w:rPr>
                <w:rFonts w:hint="eastAsia" w:ascii="Times New Roman" w:hAnsi="Times New Roman" w:eastAsia="宋体" w:cs="Times New Roman"/>
                <w:color w:val="auto"/>
                <w:kern w:val="0"/>
                <w:sz w:val="24"/>
                <w:szCs w:val="24"/>
                <w:highlight w:val="none"/>
                <w:lang w:val="en-US" w:eastAsia="zh-CN"/>
              </w:rPr>
              <w:t>2024</w:t>
            </w:r>
            <w:r>
              <w:rPr>
                <w:rFonts w:hint="default" w:ascii="Times New Roman" w:hAnsi="Times New Roman" w:eastAsia="宋体" w:cs="Times New Roman"/>
                <w:color w:val="auto"/>
                <w:kern w:val="0"/>
                <w:sz w:val="24"/>
                <w:szCs w:val="24"/>
                <w:highlight w:val="none"/>
                <w:lang w:eastAsia="zh-CN"/>
              </w:rPr>
              <w:t>年本）》中规定，</w:t>
            </w:r>
            <w:r>
              <w:rPr>
                <w:rFonts w:hint="default" w:ascii="Times New Roman" w:hAnsi="Times New Roman" w:eastAsia="宋体" w:cs="Times New Roman"/>
                <w:color w:val="auto"/>
                <w:kern w:val="0"/>
                <w:sz w:val="24"/>
                <w:szCs w:val="24"/>
                <w:highlight w:val="none"/>
                <w:lang w:val="en-US" w:eastAsia="zh-CN"/>
              </w:rPr>
              <w:t>本项目</w:t>
            </w:r>
            <w:r>
              <w:rPr>
                <w:rFonts w:hint="eastAsia" w:cs="Times New Roman"/>
                <w:color w:val="auto"/>
                <w:kern w:val="0"/>
                <w:sz w:val="24"/>
                <w:szCs w:val="24"/>
                <w:highlight w:val="none"/>
                <w:lang w:val="en-US" w:eastAsia="zh-CN"/>
              </w:rPr>
              <w:t>不</w:t>
            </w:r>
            <w:r>
              <w:rPr>
                <w:rFonts w:hint="default" w:ascii="Times New Roman" w:hAnsi="Times New Roman" w:eastAsia="宋体" w:cs="Times New Roman"/>
                <w:color w:val="auto"/>
                <w:kern w:val="0"/>
                <w:sz w:val="24"/>
                <w:szCs w:val="24"/>
                <w:highlight w:val="none"/>
                <w:lang w:val="en-US" w:eastAsia="zh-CN"/>
              </w:rPr>
              <w:t>属于鼓励类</w:t>
            </w:r>
            <w:r>
              <w:rPr>
                <w:rFonts w:hint="eastAsia" w:cs="Times New Roman"/>
                <w:color w:val="auto"/>
                <w:kern w:val="0"/>
                <w:sz w:val="24"/>
                <w:szCs w:val="24"/>
                <w:highlight w:val="none"/>
                <w:lang w:val="en-US" w:eastAsia="zh-CN"/>
              </w:rPr>
              <w:t>、限制类和淘汰类，为允许类项目</w:t>
            </w:r>
            <w:r>
              <w:rPr>
                <w:rFonts w:hint="default" w:ascii="Times New Roman" w:hAnsi="Times New Roman" w:eastAsia="宋体" w:cs="Times New Roman"/>
                <w:color w:val="auto"/>
                <w:kern w:val="0"/>
                <w:sz w:val="24"/>
                <w:szCs w:val="24"/>
                <w:highlight w:val="none"/>
                <w:lang w:val="en-US" w:eastAsia="zh-CN"/>
              </w:rPr>
              <w:t>，因此本项目符合国家和地方产业政策的要求</w:t>
            </w:r>
            <w:r>
              <w:rPr>
                <w:rFonts w:hint="default" w:ascii="Times New Roman" w:hAnsi="Times New Roman" w:eastAsia="宋体" w:cs="Times New Roman"/>
                <w:color w:val="auto"/>
                <w:kern w:val="0"/>
                <w:sz w:val="24"/>
                <w:szCs w:val="24"/>
                <w:highlight w:val="none"/>
                <w:lang w:eastAsia="zh-CN"/>
              </w:rPr>
              <w:t>。</w:t>
            </w:r>
          </w:p>
          <w:p w14:paraId="554AF3FB">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strike w:val="0"/>
                <w:dstrike w:val="0"/>
                <w:color w:val="auto"/>
                <w:kern w:val="0"/>
                <w:sz w:val="24"/>
                <w:szCs w:val="24"/>
                <w:highlight w:val="none"/>
                <w:u w:val="none"/>
                <w:lang w:val="en-US" w:eastAsia="zh-CN"/>
              </w:rPr>
            </w:pPr>
            <w:r>
              <w:rPr>
                <w:rFonts w:hint="default" w:ascii="Times New Roman" w:hAnsi="Times New Roman" w:eastAsia="宋体" w:cs="Times New Roman"/>
                <w:b/>
                <w:bCs/>
                <w:strike w:val="0"/>
                <w:dstrike w:val="0"/>
                <w:color w:val="auto"/>
                <w:kern w:val="0"/>
                <w:sz w:val="24"/>
                <w:szCs w:val="24"/>
                <w:highlight w:val="none"/>
                <w:u w:val="none"/>
                <w:lang w:val="en-US" w:eastAsia="zh-CN"/>
              </w:rPr>
              <w:t>1.</w:t>
            </w:r>
            <w:r>
              <w:rPr>
                <w:rFonts w:hint="eastAsia" w:cs="Times New Roman"/>
                <w:b/>
                <w:bCs/>
                <w:strike w:val="0"/>
                <w:dstrike w:val="0"/>
                <w:color w:val="auto"/>
                <w:kern w:val="0"/>
                <w:sz w:val="24"/>
                <w:szCs w:val="24"/>
                <w:highlight w:val="none"/>
                <w:u w:val="none"/>
                <w:lang w:val="en-US" w:eastAsia="zh-CN"/>
              </w:rPr>
              <w:t>3</w:t>
            </w:r>
            <w:r>
              <w:rPr>
                <w:rFonts w:hint="default" w:ascii="Times New Roman" w:hAnsi="Times New Roman" w:eastAsia="宋体" w:cs="Times New Roman"/>
                <w:b/>
                <w:bCs/>
                <w:strike w:val="0"/>
                <w:dstrike w:val="0"/>
                <w:color w:val="auto"/>
                <w:kern w:val="0"/>
                <w:sz w:val="24"/>
                <w:szCs w:val="24"/>
                <w:highlight w:val="none"/>
                <w:u w:val="none"/>
                <w:lang w:val="en-US" w:eastAsia="zh-CN"/>
              </w:rPr>
              <w:t xml:space="preserve"> 相关政策及规划符合性分析</w:t>
            </w:r>
          </w:p>
          <w:p w14:paraId="4A4092FA">
            <w:pPr>
              <w:spacing w:line="480" w:lineRule="atLeast"/>
              <w:ind w:firstLine="506" w:firstLineChars="200"/>
              <w:rPr>
                <w:rFonts w:hint="default" w:ascii="Times New Roman" w:hAnsi="Times New Roman" w:eastAsia="宋体" w:cs="Times New Roman"/>
                <w:b/>
                <w:bCs w:val="0"/>
                <w:color w:val="auto"/>
                <w:spacing w:val="6"/>
                <w:kern w:val="2"/>
                <w:sz w:val="24"/>
                <w:highlight w:val="none"/>
                <w:lang w:val="en-US" w:eastAsia="zh-CN"/>
              </w:rPr>
            </w:pPr>
            <w:r>
              <w:rPr>
                <w:rFonts w:hint="eastAsia" w:cs="Times New Roman"/>
                <w:b/>
                <w:bCs w:val="0"/>
                <w:color w:val="auto"/>
                <w:spacing w:val="6"/>
                <w:kern w:val="2"/>
                <w:sz w:val="24"/>
                <w:highlight w:val="none"/>
                <w:lang w:val="en-US" w:eastAsia="zh-CN"/>
              </w:rPr>
              <w:t>1</w:t>
            </w:r>
            <w:r>
              <w:rPr>
                <w:rFonts w:hint="eastAsia" w:ascii="Times New Roman" w:hAnsi="Times New Roman" w:eastAsia="宋体" w:cs="Times New Roman"/>
                <w:b/>
                <w:bCs w:val="0"/>
                <w:color w:val="auto"/>
                <w:spacing w:val="6"/>
                <w:kern w:val="2"/>
                <w:sz w:val="24"/>
                <w:highlight w:val="none"/>
                <w:lang w:val="en-US" w:eastAsia="zh-CN"/>
              </w:rPr>
              <w:t>.</w:t>
            </w:r>
            <w:r>
              <w:rPr>
                <w:rFonts w:hint="eastAsia" w:cs="Times New Roman"/>
                <w:b/>
                <w:bCs w:val="0"/>
                <w:color w:val="auto"/>
                <w:spacing w:val="6"/>
                <w:kern w:val="2"/>
                <w:sz w:val="24"/>
                <w:highlight w:val="none"/>
                <w:lang w:val="en-US" w:eastAsia="zh-CN"/>
              </w:rPr>
              <w:t>3.1</w:t>
            </w:r>
            <w:r>
              <w:rPr>
                <w:rFonts w:hint="eastAsia" w:ascii="Times New Roman" w:hAnsi="Times New Roman" w:eastAsia="宋体" w:cs="Times New Roman"/>
                <w:b/>
                <w:bCs w:val="0"/>
                <w:color w:val="auto"/>
                <w:spacing w:val="6"/>
                <w:kern w:val="2"/>
                <w:sz w:val="24"/>
                <w:highlight w:val="none"/>
                <w:lang w:val="en-US" w:eastAsia="zh-CN"/>
              </w:rPr>
              <w:t>与《长治市辛安泉饮用水水源地保护条例》符合性分析</w:t>
            </w:r>
          </w:p>
          <w:p w14:paraId="4D6385E6">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eastAsia" w:ascii="Times New Roman" w:hAnsi="Times New Roman" w:eastAsia="黑体" w:cs="Times New Roman"/>
                <w:iCs/>
                <w:snapToGrid w:val="0"/>
                <w:color w:val="auto"/>
                <w:kern w:val="0"/>
                <w:sz w:val="21"/>
                <w:szCs w:val="20"/>
                <w:highlight w:val="none"/>
                <w:lang w:val="en-US" w:eastAsia="zh-CN" w:bidi="ar-SA"/>
              </w:rPr>
            </w:pPr>
            <w:r>
              <w:rPr>
                <w:rFonts w:hint="default" w:ascii="Times New Roman" w:hAnsi="Times New Roman" w:eastAsia="黑体" w:cs="Times New Roman"/>
                <w:iCs/>
                <w:snapToGrid w:val="0"/>
                <w:color w:val="auto"/>
                <w:kern w:val="0"/>
                <w:sz w:val="21"/>
                <w:szCs w:val="20"/>
                <w:highlight w:val="none"/>
                <w:lang w:val="en-US" w:eastAsia="zh-CN" w:bidi="ar-SA"/>
              </w:rPr>
              <w:t>表1</w:t>
            </w:r>
            <w:r>
              <w:rPr>
                <w:rFonts w:hint="eastAsia" w:ascii="Times New Roman" w:hAnsi="Times New Roman" w:eastAsia="黑体" w:cs="Times New Roman"/>
                <w:iCs/>
                <w:snapToGrid w:val="0"/>
                <w:color w:val="auto"/>
                <w:kern w:val="0"/>
                <w:sz w:val="21"/>
                <w:szCs w:val="20"/>
                <w:highlight w:val="none"/>
                <w:lang w:val="en-US" w:eastAsia="zh-CN" w:bidi="ar-SA"/>
              </w:rPr>
              <w:t>.</w:t>
            </w:r>
            <w:r>
              <w:rPr>
                <w:rFonts w:hint="eastAsia" w:eastAsia="黑体" w:cs="Times New Roman"/>
                <w:iCs/>
                <w:snapToGrid w:val="0"/>
                <w:color w:val="auto"/>
                <w:kern w:val="0"/>
                <w:sz w:val="21"/>
                <w:szCs w:val="20"/>
                <w:highlight w:val="none"/>
                <w:lang w:val="en-US" w:eastAsia="zh-CN" w:bidi="ar-SA"/>
              </w:rPr>
              <w:t>3</w:t>
            </w:r>
            <w:r>
              <w:rPr>
                <w:rFonts w:hint="eastAsia" w:ascii="Times New Roman" w:hAnsi="Times New Roman" w:eastAsia="黑体" w:cs="Times New Roman"/>
                <w:iCs/>
                <w:snapToGrid w:val="0"/>
                <w:color w:val="auto"/>
                <w:kern w:val="0"/>
                <w:sz w:val="21"/>
                <w:szCs w:val="20"/>
                <w:highlight w:val="none"/>
                <w:lang w:val="en-US" w:eastAsia="zh-CN" w:bidi="ar-SA"/>
              </w:rPr>
              <w:t>-</w:t>
            </w:r>
            <w:r>
              <w:rPr>
                <w:rFonts w:hint="eastAsia" w:eastAsia="黑体" w:cs="Times New Roman"/>
                <w:iCs/>
                <w:snapToGrid w:val="0"/>
                <w:color w:val="auto"/>
                <w:kern w:val="0"/>
                <w:sz w:val="21"/>
                <w:szCs w:val="20"/>
                <w:highlight w:val="none"/>
                <w:lang w:val="en-US" w:eastAsia="zh-CN" w:bidi="ar-SA"/>
              </w:rPr>
              <w:t>1</w:t>
            </w:r>
            <w:r>
              <w:rPr>
                <w:rFonts w:hint="default" w:ascii="Times New Roman" w:hAnsi="Times New Roman" w:eastAsia="黑体" w:cs="Times New Roman"/>
                <w:iCs/>
                <w:snapToGrid w:val="0"/>
                <w:color w:val="auto"/>
                <w:kern w:val="0"/>
                <w:sz w:val="21"/>
                <w:szCs w:val="20"/>
                <w:highlight w:val="none"/>
                <w:lang w:val="en-US" w:eastAsia="zh-CN" w:bidi="ar-SA"/>
              </w:rPr>
              <w:t xml:space="preserve">  与《长治市辛安泉饮用水水源地保护条例》的符合性分析</w:t>
            </w:r>
          </w:p>
          <w:tbl>
            <w:tblPr>
              <w:tblStyle w:val="24"/>
              <w:tblW w:w="499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2"/>
              <w:gridCol w:w="4941"/>
              <w:gridCol w:w="1843"/>
            </w:tblGrid>
            <w:tr w14:paraId="34A43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3770" w:type="pct"/>
                  <w:gridSpan w:val="2"/>
                  <w:tcBorders>
                    <w:tl2br w:val="nil"/>
                    <w:tr2bl w:val="nil"/>
                  </w:tcBorders>
                  <w:vAlign w:val="center"/>
                </w:tcPr>
                <w:p w14:paraId="3B67110D">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与本项目相关的要求</w:t>
                  </w:r>
                </w:p>
              </w:tc>
              <w:tc>
                <w:tcPr>
                  <w:tcW w:w="1229" w:type="pct"/>
                  <w:tcBorders>
                    <w:tl2br w:val="nil"/>
                    <w:tr2bl w:val="nil"/>
                  </w:tcBorders>
                  <w:vAlign w:val="center"/>
                </w:tcPr>
                <w:p w14:paraId="418A7C28">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kern w:val="0"/>
                      <w:sz w:val="21"/>
                      <w:szCs w:val="21"/>
                      <w:highlight w:val="none"/>
                      <w:lang w:val="en-US" w:eastAsia="zh-CN"/>
                    </w:rPr>
                    <w:t>符合性分析</w:t>
                  </w:r>
                </w:p>
              </w:tc>
            </w:tr>
            <w:tr w14:paraId="5D0B4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75" w:type="pct"/>
                  <w:tcBorders>
                    <w:tl2br w:val="nil"/>
                    <w:tr2bl w:val="nil"/>
                  </w:tcBorders>
                  <w:vAlign w:val="center"/>
                </w:tcPr>
                <w:p w14:paraId="6B87B9E2">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第十四条</w:t>
                  </w:r>
                </w:p>
              </w:tc>
              <w:tc>
                <w:tcPr>
                  <w:tcW w:w="3295" w:type="pct"/>
                  <w:tcBorders>
                    <w:tl2br w:val="nil"/>
                    <w:tr2bl w:val="nil"/>
                  </w:tcBorders>
                  <w:vAlign w:val="center"/>
                </w:tcPr>
                <w:p w14:paraId="02A04AE5">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在</w:t>
                  </w:r>
                  <w:r>
                    <w:rPr>
                      <w:rFonts w:hint="default" w:ascii="Times New Roman" w:hAnsi="Times New Roman" w:eastAsia="宋体" w:cs="Times New Roman"/>
                      <w:bCs/>
                      <w:color w:val="auto"/>
                      <w:sz w:val="21"/>
                      <w:szCs w:val="21"/>
                      <w:highlight w:val="none"/>
                      <w:lang w:val="en-US" w:eastAsia="zh-CN"/>
                    </w:rPr>
                    <w:t>辛安泉饮用水水源地准保护区范围内禁止下列行为：</w:t>
                  </w:r>
                </w:p>
                <w:p w14:paraId="399F5D41">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（一）直接或者间接向水域排放不符合国家以及地方规定排放标准的废水；</w:t>
                  </w:r>
                </w:p>
                <w:p w14:paraId="178C4140">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（二）新建、扩建对水体污染严重的建设项目，改建建设项目增加排污量；</w:t>
                  </w:r>
                </w:p>
                <w:p w14:paraId="3F4A82AD">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（三）使用不符合《农田灌溉水质标准》的污水灌溉农田；</w:t>
                  </w:r>
                </w:p>
                <w:p w14:paraId="08DAF3E3">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（四）利用渗井、废弃矿井、废弃井孔等排放工业废水、生活污水和矿坑水；</w:t>
                  </w:r>
                </w:p>
                <w:p w14:paraId="3604D000">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（五）法律、法规规定的其他禁止行为。</w:t>
                  </w:r>
                </w:p>
              </w:tc>
              <w:tc>
                <w:tcPr>
                  <w:tcW w:w="1229" w:type="pct"/>
                  <w:tcBorders>
                    <w:tl2br w:val="nil"/>
                    <w:tr2bl w:val="nil"/>
                  </w:tcBorders>
                  <w:vAlign w:val="center"/>
                </w:tcPr>
                <w:p w14:paraId="302C4BBE">
                  <w:pPr>
                    <w:keepNext w:val="0"/>
                    <w:keepLines w:val="0"/>
                    <w:pageBreakBefore w:val="0"/>
                    <w:kinsoku/>
                    <w:wordWrap/>
                    <w:overflowPunct/>
                    <w:topLinePunct w:val="0"/>
                    <w:autoSpaceDE/>
                    <w:autoSpaceDN/>
                    <w:bidi w:val="0"/>
                    <w:adjustRightInd w:val="0"/>
                    <w:snapToGrid w:val="0"/>
                    <w:spacing w:line="320" w:lineRule="exact"/>
                    <w:ind w:firstLine="0" w:firstLineChars="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本项目不</w:t>
                  </w:r>
                  <w:r>
                    <w:rPr>
                      <w:rFonts w:hint="eastAsia" w:ascii="Times New Roman" w:hAnsi="Times New Roman" w:eastAsia="宋体" w:cs="Times New Roman"/>
                      <w:color w:val="auto"/>
                      <w:sz w:val="21"/>
                      <w:szCs w:val="21"/>
                      <w:highlight w:val="none"/>
                      <w:lang w:val="en-US" w:eastAsia="zh-CN"/>
                    </w:rPr>
                    <w:t>在辛安泉饮用水水源地准保护区范围内</w:t>
                  </w:r>
                  <w:r>
                    <w:rPr>
                      <w:rFonts w:hint="default" w:ascii="Times New Roman" w:hAnsi="Times New Roman" w:eastAsia="宋体" w:cs="Times New Roman"/>
                      <w:bCs/>
                      <w:color w:val="auto"/>
                      <w:sz w:val="21"/>
                      <w:szCs w:val="21"/>
                      <w:highlight w:val="none"/>
                      <w:lang w:val="zh-CN"/>
                    </w:rPr>
                    <w:t>。</w:t>
                  </w:r>
                </w:p>
              </w:tc>
            </w:tr>
            <w:tr w14:paraId="22DFF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75" w:type="pct"/>
                  <w:tcBorders>
                    <w:tl2br w:val="nil"/>
                    <w:tr2bl w:val="nil"/>
                  </w:tcBorders>
                  <w:vAlign w:val="center"/>
                </w:tcPr>
                <w:p w14:paraId="507D760B">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第十五条</w:t>
                  </w:r>
                </w:p>
              </w:tc>
              <w:tc>
                <w:tcPr>
                  <w:tcW w:w="3295" w:type="pct"/>
                  <w:tcBorders>
                    <w:tl2br w:val="nil"/>
                    <w:tr2bl w:val="nil"/>
                  </w:tcBorders>
                  <w:vAlign w:val="center"/>
                </w:tcPr>
                <w:p w14:paraId="2733871E">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在辛安泉饮用水水源地二级保护区除禁止本条例第十四条规定的行为外，还禁止下列行为：</w:t>
                  </w:r>
                </w:p>
                <w:p w14:paraId="0B159A5F">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（一）新建、改建、扩建炼焦、化工、炼油、冶炼、电镀、皮革、造纸、制浆、印染、染料、放射性以及其他排放污染物的建设项目；</w:t>
                  </w:r>
                </w:p>
                <w:p w14:paraId="27B20F0A">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（二）使用农药，丢弃农药、农药包装物或者清洗施药器械；</w:t>
                  </w:r>
                </w:p>
                <w:p w14:paraId="49EE82C7">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（三）建设畜禽养殖场、养殖小区；</w:t>
                  </w:r>
                </w:p>
                <w:p w14:paraId="1B473203">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（四）利用未经净化的污水灌溉农田；</w:t>
                  </w:r>
                </w:p>
                <w:p w14:paraId="0748AA2C">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（五）倾倒、堆放、储存危险化学品和有毒有害废弃物；</w:t>
                  </w:r>
                </w:p>
                <w:p w14:paraId="62510A9A">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（六）建设工业固体废物、粪便和易溶、有毒有害废弃物集中贮存、处置的设施、场所和生活垃圾填埋场、转运站；</w:t>
                  </w:r>
                </w:p>
                <w:p w14:paraId="59033AA3">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（七）可能对辛安泉饮用水水源地二级保护区水环境安全造成危害的其他行为。</w:t>
                  </w:r>
                </w:p>
              </w:tc>
              <w:tc>
                <w:tcPr>
                  <w:tcW w:w="1229" w:type="pct"/>
                  <w:tcBorders>
                    <w:tl2br w:val="nil"/>
                    <w:tr2bl w:val="nil"/>
                  </w:tcBorders>
                  <w:vAlign w:val="center"/>
                </w:tcPr>
                <w:p w14:paraId="49DED4F4">
                  <w:pPr>
                    <w:keepNext w:val="0"/>
                    <w:keepLines w:val="0"/>
                    <w:pageBreakBefore w:val="0"/>
                    <w:kinsoku/>
                    <w:wordWrap/>
                    <w:overflowPunct/>
                    <w:topLinePunct w:val="0"/>
                    <w:autoSpaceDE/>
                    <w:autoSpaceDN/>
                    <w:bidi w:val="0"/>
                    <w:adjustRightInd w:val="0"/>
                    <w:snapToGrid w:val="0"/>
                    <w:spacing w:line="32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本项目不在</w:t>
                  </w:r>
                  <w:r>
                    <w:rPr>
                      <w:rFonts w:hint="default" w:ascii="Times New Roman" w:hAnsi="Times New Roman" w:eastAsia="宋体" w:cs="Times New Roman"/>
                      <w:bCs/>
                      <w:color w:val="auto"/>
                      <w:sz w:val="21"/>
                      <w:szCs w:val="21"/>
                      <w:highlight w:val="none"/>
                    </w:rPr>
                    <w:t>辛安</w:t>
                  </w:r>
                  <w:r>
                    <w:rPr>
                      <w:rFonts w:hint="default" w:ascii="Times New Roman" w:hAnsi="Times New Roman" w:eastAsia="宋体" w:cs="Times New Roman"/>
                      <w:color w:val="auto"/>
                      <w:sz w:val="21"/>
                      <w:szCs w:val="21"/>
                      <w:highlight w:val="none"/>
                      <w:lang w:val="zh-CN"/>
                    </w:rPr>
                    <w:t>泉饮用水水源地</w:t>
                  </w:r>
                  <w:r>
                    <w:rPr>
                      <w:rFonts w:hint="default" w:ascii="Times New Roman" w:hAnsi="Times New Roman" w:eastAsia="宋体" w:cs="Times New Roman"/>
                      <w:color w:val="auto"/>
                      <w:sz w:val="21"/>
                      <w:szCs w:val="21"/>
                      <w:highlight w:val="none"/>
                    </w:rPr>
                    <w:t>二</w:t>
                  </w:r>
                  <w:r>
                    <w:rPr>
                      <w:rFonts w:hint="default" w:ascii="Times New Roman" w:hAnsi="Times New Roman" w:eastAsia="宋体" w:cs="Times New Roman"/>
                      <w:color w:val="auto"/>
                      <w:sz w:val="21"/>
                      <w:szCs w:val="21"/>
                      <w:highlight w:val="none"/>
                      <w:lang w:val="zh-CN"/>
                    </w:rPr>
                    <w:t>级保护区内。</w:t>
                  </w:r>
                </w:p>
              </w:tc>
            </w:tr>
            <w:tr w14:paraId="715A3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75" w:type="pct"/>
                  <w:tcBorders>
                    <w:tl2br w:val="nil"/>
                    <w:tr2bl w:val="nil"/>
                  </w:tcBorders>
                  <w:vAlign w:val="center"/>
                </w:tcPr>
                <w:p w14:paraId="0BE825CF">
                  <w:pPr>
                    <w:keepNext w:val="0"/>
                    <w:keepLines w:val="0"/>
                    <w:pageBreakBefore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val="en-US" w:eastAsia="zh-CN"/>
                    </w:rPr>
                    <w:t>第十六条</w:t>
                  </w:r>
                </w:p>
              </w:tc>
              <w:tc>
                <w:tcPr>
                  <w:tcW w:w="3295" w:type="pct"/>
                  <w:tcBorders>
                    <w:tl2br w:val="nil"/>
                    <w:tr2bl w:val="nil"/>
                  </w:tcBorders>
                  <w:vAlign w:val="center"/>
                </w:tcPr>
                <w:p w14:paraId="0BE96E20">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在辛安泉饮用水水源地一级保护区内除禁止本条例第十四条和第十五条规定的行为外，还禁止下列行为：</w:t>
                  </w:r>
                </w:p>
                <w:p w14:paraId="2A12A07A">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（一）新建、改建、扩建与供水设施、防洪设施和保护水源无关的建设项目；</w:t>
                  </w:r>
                </w:p>
                <w:p w14:paraId="0E84F72D">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（二）倾倒、堆放工业废渣、废液、垃圾、粪便、油类和其他有害废弃物；</w:t>
                  </w:r>
                </w:p>
                <w:p w14:paraId="45A15D15">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（三）从事农牧业活动；</w:t>
                  </w:r>
                </w:p>
                <w:p w14:paraId="4D4E8B66">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（四）从事网箱养殖、旅游、游泳、垂钓、水上训练或者其他可能污染饮用水水体的活动；</w:t>
                  </w:r>
                </w:p>
                <w:p w14:paraId="3C5DFB70">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（五）设置与供水需要无关的码头、停靠船舶；</w:t>
                  </w:r>
                </w:p>
                <w:p w14:paraId="03F7A17D">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（六）设置旅游娱乐设施、餐饮服务项目；</w:t>
                  </w:r>
                </w:p>
                <w:p w14:paraId="2C523BA7">
                  <w:pPr>
                    <w:pStyle w:val="9"/>
                    <w:keepNext w:val="0"/>
                    <w:keepLines w:val="0"/>
                    <w:pageBreakBefore w:val="0"/>
                    <w:kinsoku/>
                    <w:wordWrap/>
                    <w:overflowPunct/>
                    <w:topLinePunct w:val="0"/>
                    <w:autoSpaceDE/>
                    <w:autoSpaceDN/>
                    <w:bidi w:val="0"/>
                    <w:adjustRightInd w:val="0"/>
                    <w:snapToGrid w:val="0"/>
                    <w:spacing w:before="0" w:after="0" w:line="320" w:lineRule="exact"/>
                    <w:ind w:right="0" w:firstLine="0" w:firstLineChars="0"/>
                    <w:textAlignment w:val="auto"/>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（七）可能对辛安泉饮用水水源地一级保护区水环境安全造成危害的其他行为</w:t>
                  </w:r>
                  <w:r>
                    <w:rPr>
                      <w:rFonts w:hint="eastAsia" w:ascii="Times New Roman" w:hAnsi="Times New Roman" w:eastAsia="宋体" w:cs="Times New Roman"/>
                      <w:bCs/>
                      <w:color w:val="auto"/>
                      <w:sz w:val="21"/>
                      <w:szCs w:val="21"/>
                      <w:highlight w:val="none"/>
                      <w:lang w:val="en-US" w:eastAsia="zh-CN"/>
                    </w:rPr>
                    <w:t>。</w:t>
                  </w:r>
                </w:p>
              </w:tc>
              <w:tc>
                <w:tcPr>
                  <w:tcW w:w="1229" w:type="pct"/>
                  <w:tcBorders>
                    <w:tl2br w:val="nil"/>
                    <w:tr2bl w:val="nil"/>
                  </w:tcBorders>
                  <w:vAlign w:val="center"/>
                </w:tcPr>
                <w:p w14:paraId="09A3C6D5">
                  <w:pPr>
                    <w:keepNext w:val="0"/>
                    <w:keepLines w:val="0"/>
                    <w:pageBreakBefore w:val="0"/>
                    <w:kinsoku/>
                    <w:wordWrap/>
                    <w:overflowPunct/>
                    <w:topLinePunct w:val="0"/>
                    <w:autoSpaceDE/>
                    <w:autoSpaceDN/>
                    <w:bidi w:val="0"/>
                    <w:adjustRightInd w:val="0"/>
                    <w:snapToGrid w:val="0"/>
                    <w:spacing w:line="320" w:lineRule="exact"/>
                    <w:ind w:firstLine="0" w:firstLineChars="0"/>
                    <w:textAlignment w:val="auto"/>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color w:val="auto"/>
                      <w:sz w:val="21"/>
                      <w:szCs w:val="21"/>
                      <w:highlight w:val="none"/>
                    </w:rPr>
                    <w:t>本项目不在</w:t>
                  </w:r>
                  <w:r>
                    <w:rPr>
                      <w:rFonts w:hint="default" w:ascii="Times New Roman" w:hAnsi="Times New Roman" w:eastAsia="宋体" w:cs="Times New Roman"/>
                      <w:bCs/>
                      <w:color w:val="auto"/>
                      <w:sz w:val="21"/>
                      <w:szCs w:val="21"/>
                      <w:highlight w:val="none"/>
                    </w:rPr>
                    <w:t>辛安</w:t>
                  </w:r>
                  <w:r>
                    <w:rPr>
                      <w:rFonts w:hint="default" w:ascii="Times New Roman" w:hAnsi="Times New Roman" w:eastAsia="宋体" w:cs="Times New Roman"/>
                      <w:color w:val="auto"/>
                      <w:sz w:val="21"/>
                      <w:szCs w:val="21"/>
                      <w:highlight w:val="none"/>
                      <w:lang w:val="zh-CN"/>
                    </w:rPr>
                    <w:t>泉饮用水水源地一级保护区内。</w:t>
                  </w:r>
                </w:p>
              </w:tc>
            </w:tr>
          </w:tbl>
          <w:p w14:paraId="1B770F5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val="0"/>
                <w:bCs w:val="0"/>
                <w:color w:val="auto"/>
                <w:kern w:val="0"/>
                <w:sz w:val="24"/>
                <w:szCs w:val="24"/>
                <w:highlight w:val="none"/>
                <w:lang w:val="en-US" w:eastAsia="zh-CN"/>
              </w:rPr>
              <w:t>因此，本项目的建设不违背</w:t>
            </w:r>
            <w:r>
              <w:rPr>
                <w:rFonts w:hint="eastAsia" w:ascii="Times New Roman" w:hAnsi="Times New Roman" w:eastAsia="宋体" w:cs="Times New Roman"/>
                <w:bCs/>
                <w:color w:val="auto"/>
                <w:spacing w:val="6"/>
                <w:kern w:val="2"/>
                <w:sz w:val="24"/>
                <w:highlight w:val="none"/>
                <w:lang w:val="en-US" w:eastAsia="zh-CN"/>
              </w:rPr>
              <w:t>《长治市辛安泉饮用水水源地保护条例》</w:t>
            </w:r>
            <w:r>
              <w:rPr>
                <w:rFonts w:hint="default" w:ascii="Times New Roman" w:hAnsi="Times New Roman" w:eastAsia="宋体" w:cs="Times New Roman"/>
                <w:bCs/>
                <w:color w:val="auto"/>
                <w:spacing w:val="6"/>
                <w:kern w:val="2"/>
                <w:sz w:val="24"/>
                <w:highlight w:val="none"/>
                <w:lang w:val="en-US" w:eastAsia="zh-CN"/>
              </w:rPr>
              <w:t>文中有关要求。</w:t>
            </w:r>
          </w:p>
          <w:p w14:paraId="7EB48376">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1.3.2</w:t>
            </w:r>
            <w:r>
              <w:rPr>
                <w:rFonts w:hint="default" w:ascii="Times New Roman" w:hAnsi="Times New Roman" w:eastAsia="宋体" w:cs="Times New Roman"/>
                <w:b/>
                <w:bCs/>
                <w:color w:val="auto"/>
                <w:kern w:val="0"/>
                <w:sz w:val="24"/>
                <w:szCs w:val="24"/>
                <w:highlight w:val="none"/>
                <w:lang w:val="en-US" w:eastAsia="zh-CN"/>
              </w:rPr>
              <w:t>与山西省生态环境</w:t>
            </w:r>
            <w:r>
              <w:rPr>
                <w:rFonts w:hint="eastAsia" w:cs="Times New Roman"/>
                <w:b/>
                <w:bCs/>
                <w:color w:val="auto"/>
                <w:kern w:val="0"/>
                <w:sz w:val="24"/>
                <w:szCs w:val="24"/>
                <w:highlight w:val="none"/>
                <w:lang w:val="en-US" w:eastAsia="zh-CN"/>
              </w:rPr>
              <w:t>厅 山西省发展和改革委员会</w:t>
            </w:r>
            <w:r>
              <w:rPr>
                <w:rFonts w:hint="default" w:ascii="Times New Roman" w:hAnsi="Times New Roman" w:eastAsia="宋体" w:cs="Times New Roman"/>
                <w:b/>
                <w:bCs/>
                <w:color w:val="auto"/>
                <w:kern w:val="0"/>
                <w:sz w:val="24"/>
                <w:szCs w:val="24"/>
                <w:highlight w:val="none"/>
                <w:lang w:val="en-US" w:eastAsia="zh-CN"/>
              </w:rPr>
              <w:t>关于印发《山西省</w:t>
            </w:r>
            <w:r>
              <w:rPr>
                <w:rFonts w:hint="eastAsia" w:cs="Times New Roman"/>
                <w:b/>
                <w:bCs/>
                <w:color w:val="auto"/>
                <w:kern w:val="0"/>
                <w:sz w:val="24"/>
                <w:szCs w:val="24"/>
                <w:highlight w:val="none"/>
                <w:lang w:val="en-US" w:eastAsia="zh-CN"/>
              </w:rPr>
              <w:t>“十四五”生态环境保护规划</w:t>
            </w:r>
            <w:r>
              <w:rPr>
                <w:rFonts w:hint="default" w:ascii="Times New Roman" w:hAnsi="Times New Roman" w:eastAsia="宋体" w:cs="Times New Roman"/>
                <w:b/>
                <w:bCs/>
                <w:color w:val="auto"/>
                <w:kern w:val="0"/>
                <w:sz w:val="24"/>
                <w:szCs w:val="24"/>
                <w:highlight w:val="none"/>
                <w:lang w:val="en-US" w:eastAsia="zh-CN"/>
              </w:rPr>
              <w:t>》的通知（晋环</w:t>
            </w:r>
            <w:r>
              <w:rPr>
                <w:rFonts w:hint="eastAsia" w:cs="Times New Roman"/>
                <w:b/>
                <w:bCs/>
                <w:color w:val="auto"/>
                <w:kern w:val="0"/>
                <w:sz w:val="24"/>
                <w:szCs w:val="24"/>
                <w:highlight w:val="none"/>
                <w:lang w:val="en-US" w:eastAsia="zh-CN"/>
              </w:rPr>
              <w:t>发</w:t>
            </w:r>
            <w:r>
              <w:rPr>
                <w:rFonts w:hint="default" w:ascii="Times New Roman" w:hAnsi="Times New Roman" w:eastAsia="宋体" w:cs="Times New Roman"/>
                <w:b/>
                <w:bCs/>
                <w:color w:val="auto"/>
                <w:kern w:val="0"/>
                <w:sz w:val="24"/>
                <w:szCs w:val="24"/>
                <w:highlight w:val="none"/>
                <w:lang w:val="en-US" w:eastAsia="zh-CN"/>
              </w:rPr>
              <w:t>〔2022〕</w:t>
            </w:r>
            <w:r>
              <w:rPr>
                <w:rFonts w:hint="eastAsia" w:cs="Times New Roman"/>
                <w:b/>
                <w:bCs/>
                <w:color w:val="auto"/>
                <w:kern w:val="0"/>
                <w:sz w:val="24"/>
                <w:szCs w:val="24"/>
                <w:highlight w:val="none"/>
                <w:lang w:val="en-US" w:eastAsia="zh-CN"/>
              </w:rPr>
              <w:t>3</w:t>
            </w:r>
            <w:r>
              <w:rPr>
                <w:rFonts w:hint="default" w:ascii="Times New Roman" w:hAnsi="Times New Roman" w:eastAsia="宋体" w:cs="Times New Roman"/>
                <w:b/>
                <w:bCs/>
                <w:color w:val="auto"/>
                <w:kern w:val="0"/>
                <w:sz w:val="24"/>
                <w:szCs w:val="24"/>
                <w:highlight w:val="none"/>
                <w:lang w:val="en-US" w:eastAsia="zh-CN"/>
              </w:rPr>
              <w:t>号）符合性分析</w:t>
            </w:r>
          </w:p>
          <w:p w14:paraId="664849F5">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kern w:val="0"/>
                <w:sz w:val="21"/>
                <w:szCs w:val="20"/>
                <w:highlight w:val="none"/>
                <w:lang w:val="en-US" w:eastAsia="zh-CN" w:bidi="ar-SA"/>
              </w:rPr>
            </w:pPr>
            <w:r>
              <w:rPr>
                <w:rFonts w:hint="default" w:ascii="Times New Roman" w:hAnsi="Times New Roman" w:eastAsia="黑体" w:cs="Times New Roman"/>
                <w:iCs/>
                <w:snapToGrid w:val="0"/>
                <w:color w:val="auto"/>
                <w:kern w:val="0"/>
                <w:sz w:val="21"/>
                <w:szCs w:val="20"/>
                <w:highlight w:val="none"/>
                <w:lang w:val="en-US" w:eastAsia="zh-CN" w:bidi="ar-SA"/>
              </w:rPr>
              <w:t xml:space="preserve">表 </w:t>
            </w:r>
            <w:r>
              <w:rPr>
                <w:rFonts w:hint="eastAsia" w:ascii="Times New Roman" w:hAnsi="Times New Roman" w:eastAsia="黑体" w:cs="Times New Roman"/>
                <w:iCs/>
                <w:snapToGrid w:val="0"/>
                <w:color w:val="auto"/>
                <w:kern w:val="0"/>
                <w:sz w:val="21"/>
                <w:szCs w:val="20"/>
                <w:highlight w:val="none"/>
                <w:lang w:val="en-US" w:eastAsia="zh-CN" w:bidi="ar-SA"/>
              </w:rPr>
              <w:t>1.</w:t>
            </w:r>
            <w:r>
              <w:rPr>
                <w:rFonts w:hint="eastAsia" w:eastAsia="黑体" w:cs="Times New Roman"/>
                <w:iCs/>
                <w:snapToGrid w:val="0"/>
                <w:color w:val="auto"/>
                <w:kern w:val="0"/>
                <w:sz w:val="21"/>
                <w:szCs w:val="20"/>
                <w:highlight w:val="none"/>
                <w:lang w:val="en-US" w:eastAsia="zh-CN" w:bidi="ar-SA"/>
              </w:rPr>
              <w:t>3</w:t>
            </w:r>
            <w:r>
              <w:rPr>
                <w:rFonts w:hint="eastAsia" w:ascii="Times New Roman" w:hAnsi="Times New Roman" w:eastAsia="黑体" w:cs="Times New Roman"/>
                <w:iCs/>
                <w:snapToGrid w:val="0"/>
                <w:color w:val="auto"/>
                <w:kern w:val="0"/>
                <w:sz w:val="21"/>
                <w:szCs w:val="20"/>
                <w:highlight w:val="none"/>
                <w:lang w:val="en-US" w:eastAsia="zh-CN" w:bidi="ar-SA"/>
              </w:rPr>
              <w:t>-</w:t>
            </w:r>
            <w:r>
              <w:rPr>
                <w:rFonts w:hint="eastAsia" w:eastAsia="黑体" w:cs="Times New Roman"/>
                <w:iCs/>
                <w:snapToGrid w:val="0"/>
                <w:color w:val="auto"/>
                <w:kern w:val="0"/>
                <w:sz w:val="21"/>
                <w:szCs w:val="20"/>
                <w:highlight w:val="none"/>
                <w:lang w:val="en-US" w:eastAsia="zh-CN" w:bidi="ar-SA"/>
              </w:rPr>
              <w:t>2</w:t>
            </w:r>
            <w:r>
              <w:rPr>
                <w:rFonts w:hint="default" w:ascii="Times New Roman" w:hAnsi="Times New Roman" w:eastAsia="黑体" w:cs="Times New Roman"/>
                <w:iCs/>
                <w:snapToGrid w:val="0"/>
                <w:color w:val="auto"/>
                <w:kern w:val="0"/>
                <w:sz w:val="21"/>
                <w:szCs w:val="20"/>
                <w:highlight w:val="none"/>
                <w:lang w:val="en-US" w:eastAsia="zh-CN" w:bidi="ar-SA"/>
              </w:rPr>
              <w:t xml:space="preserve"> </w:t>
            </w:r>
            <w:r>
              <w:rPr>
                <w:rFonts w:hint="eastAsia" w:ascii="Times New Roman" w:hAnsi="Times New Roman" w:eastAsia="黑体" w:cs="Times New Roman"/>
                <w:iCs/>
                <w:snapToGrid w:val="0"/>
                <w:color w:val="auto"/>
                <w:kern w:val="0"/>
                <w:sz w:val="21"/>
                <w:szCs w:val="20"/>
                <w:highlight w:val="none"/>
                <w:lang w:val="en-US" w:eastAsia="zh-CN" w:bidi="ar-SA"/>
              </w:rPr>
              <w:t xml:space="preserve"> </w:t>
            </w:r>
            <w:r>
              <w:rPr>
                <w:rFonts w:hint="default" w:ascii="Times New Roman" w:hAnsi="Times New Roman" w:eastAsia="黑体" w:cs="Times New Roman"/>
                <w:iCs/>
                <w:snapToGrid w:val="0"/>
                <w:color w:val="auto"/>
                <w:kern w:val="0"/>
                <w:sz w:val="21"/>
                <w:szCs w:val="20"/>
                <w:highlight w:val="none"/>
                <w:lang w:val="en-US" w:eastAsia="zh-CN" w:bidi="ar-SA"/>
              </w:rPr>
              <w:t>与《山西省“十四五”生态环境保护规划》符合性分析</w:t>
            </w:r>
          </w:p>
          <w:tbl>
            <w:tblPr>
              <w:tblStyle w:val="2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4"/>
              <w:gridCol w:w="4160"/>
              <w:gridCol w:w="1845"/>
              <w:gridCol w:w="885"/>
            </w:tblGrid>
            <w:tr w14:paraId="635D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409" w:type="pct"/>
                  <w:noWrap w:val="0"/>
                  <w:vAlign w:val="center"/>
                </w:tcPr>
                <w:p w14:paraId="1A043D8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序号</w:t>
                  </w:r>
                </w:p>
              </w:tc>
              <w:tc>
                <w:tcPr>
                  <w:tcW w:w="2771" w:type="pct"/>
                  <w:noWrap w:val="0"/>
                  <w:vAlign w:val="center"/>
                </w:tcPr>
                <w:p w14:paraId="5006186D">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要求</w:t>
                  </w:r>
                </w:p>
              </w:tc>
              <w:tc>
                <w:tcPr>
                  <w:tcW w:w="1229" w:type="pct"/>
                  <w:noWrap w:val="0"/>
                  <w:vAlign w:val="center"/>
                </w:tcPr>
                <w:p w14:paraId="62ABDA5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本项目具体情况</w:t>
                  </w:r>
                </w:p>
              </w:tc>
              <w:tc>
                <w:tcPr>
                  <w:tcW w:w="589" w:type="pct"/>
                  <w:noWrap w:val="0"/>
                  <w:vAlign w:val="center"/>
                </w:tcPr>
                <w:p w14:paraId="33C56170">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b w:val="0"/>
                      <w:bCs/>
                      <w:color w:val="auto"/>
                      <w:sz w:val="21"/>
                      <w:szCs w:val="21"/>
                    </w:rPr>
                    <w:t>符合性</w:t>
                  </w:r>
                </w:p>
              </w:tc>
            </w:tr>
            <w:tr w14:paraId="4865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409" w:type="pct"/>
                  <w:noWrap w:val="0"/>
                  <w:vAlign w:val="center"/>
                </w:tcPr>
                <w:p w14:paraId="04838422">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1</w:t>
                  </w:r>
                </w:p>
              </w:tc>
              <w:tc>
                <w:tcPr>
                  <w:tcW w:w="2771" w:type="pct"/>
                  <w:noWrap w:val="0"/>
                  <w:vAlign w:val="center"/>
                </w:tcPr>
                <w:p w14:paraId="5AE1E330">
                  <w:pPr>
                    <w:pStyle w:val="5"/>
                    <w:keepNext w:val="0"/>
                    <w:keepLines w:val="0"/>
                    <w:pageBreakBefore w:val="0"/>
                    <w:widowControl w:val="0"/>
                    <w:kinsoku/>
                    <w:wordWrap/>
                    <w:overflowPunct/>
                    <w:topLinePunct w:val="0"/>
                    <w:bidi w:val="0"/>
                    <w:spacing w:line="300" w:lineRule="exact"/>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严格重点流域、区域产业空间布局。严禁在黄河干流及汾河、桑干河、滹沱河、漳河、沁河、涑水河、大清河临岸一定范围内布设高污染工业项目，分行业、分时段有序退出临岸1公里范围内已有“两高一资”项目。严禁在晋阳湖、云竹湖、漳泽湖、伍姓湖、盐湖生态保护与修复区域、城市(县城)规划区新改扩建焦化、钢铁、化工、有色金属冶炼、水泥等高污染项目，以及危险化学品贮存、处理处置等高风险项目</w:t>
                  </w:r>
                  <w:r>
                    <w:rPr>
                      <w:rFonts w:hint="eastAsia" w:cs="Times New Roman"/>
                      <w:color w:val="auto"/>
                      <w:sz w:val="21"/>
                      <w:szCs w:val="21"/>
                      <w:highlight w:val="none"/>
                      <w:lang w:val="en-US" w:eastAsia="zh-CN"/>
                    </w:rPr>
                    <w:t>。</w:t>
                  </w:r>
                </w:p>
              </w:tc>
              <w:tc>
                <w:tcPr>
                  <w:tcW w:w="1229" w:type="pct"/>
                  <w:noWrap w:val="0"/>
                  <w:vAlign w:val="center"/>
                </w:tcPr>
                <w:p w14:paraId="357617D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both"/>
                    <w:textAlignment w:val="auto"/>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color w:val="auto"/>
                      <w:kern w:val="0"/>
                      <w:sz w:val="21"/>
                      <w:szCs w:val="21"/>
                      <w:highlight w:val="none"/>
                      <w:lang w:val="en-US" w:eastAsia="zh-CN"/>
                    </w:rPr>
                    <w:t>本项目</w:t>
                  </w:r>
                  <w:r>
                    <w:rPr>
                      <w:rFonts w:hint="eastAsia" w:cs="Times New Roman"/>
                      <w:color w:val="auto"/>
                      <w:kern w:val="0"/>
                      <w:sz w:val="21"/>
                      <w:szCs w:val="21"/>
                      <w:highlight w:val="none"/>
                      <w:lang w:val="en-US" w:eastAsia="zh-CN"/>
                    </w:rPr>
                    <w:t>属于燃气热水锅炉供热项目，不属于高污染工业项目</w:t>
                  </w:r>
                  <w:r>
                    <w:rPr>
                      <w:rFonts w:hint="default" w:ascii="Times New Roman" w:hAnsi="Times New Roman" w:cs="Times New Roman"/>
                      <w:color w:val="auto"/>
                      <w:kern w:val="0"/>
                      <w:sz w:val="21"/>
                      <w:szCs w:val="21"/>
                      <w:highlight w:val="none"/>
                      <w:lang w:val="en-US" w:eastAsia="zh-CN"/>
                    </w:rPr>
                    <w:t>。</w:t>
                  </w:r>
                  <w:r>
                    <w:rPr>
                      <w:rFonts w:hint="eastAsia" w:cs="Times New Roman"/>
                      <w:color w:val="auto"/>
                      <w:kern w:val="0"/>
                      <w:sz w:val="21"/>
                      <w:szCs w:val="21"/>
                      <w:highlight w:val="none"/>
                      <w:lang w:val="en-US" w:eastAsia="zh-CN"/>
                    </w:rPr>
                    <w:t>本项目不在</w:t>
                  </w:r>
                  <w:r>
                    <w:rPr>
                      <w:rFonts w:hint="default" w:ascii="Times New Roman" w:hAnsi="Times New Roman" w:cs="Times New Roman"/>
                      <w:color w:val="auto"/>
                      <w:sz w:val="21"/>
                      <w:szCs w:val="21"/>
                      <w:highlight w:val="none"/>
                      <w:lang w:val="en-US" w:eastAsia="zh-CN"/>
                    </w:rPr>
                    <w:t>黄河干流及汾河、桑干河、滹沱河、漳河、沁河、涑水河、大清河临岸一定范围内</w:t>
                  </w:r>
                  <w:r>
                    <w:rPr>
                      <w:rFonts w:hint="eastAsia" w:cs="Times New Roman"/>
                      <w:color w:val="auto"/>
                      <w:sz w:val="21"/>
                      <w:szCs w:val="21"/>
                      <w:highlight w:val="none"/>
                      <w:lang w:val="en-US" w:eastAsia="zh-CN"/>
                    </w:rPr>
                    <w:t>，不</w:t>
                  </w:r>
                  <w:r>
                    <w:rPr>
                      <w:rFonts w:hint="default" w:ascii="Times New Roman" w:hAnsi="Times New Roman" w:cs="Times New Roman"/>
                      <w:color w:val="auto"/>
                      <w:sz w:val="21"/>
                      <w:szCs w:val="21"/>
                      <w:highlight w:val="none"/>
                      <w:lang w:val="en-US" w:eastAsia="zh-CN"/>
                    </w:rPr>
                    <w:t>在晋阳湖、云竹湖、漳泽湖、伍姓湖、盐湖生态保护与修复区域、城市(县城)规划区</w:t>
                  </w:r>
                  <w:r>
                    <w:rPr>
                      <w:rFonts w:hint="eastAsia" w:cs="Times New Roman"/>
                      <w:color w:val="auto"/>
                      <w:sz w:val="21"/>
                      <w:szCs w:val="21"/>
                      <w:highlight w:val="none"/>
                      <w:lang w:val="en-US" w:eastAsia="zh-CN"/>
                    </w:rPr>
                    <w:t>。</w:t>
                  </w:r>
                </w:p>
              </w:tc>
              <w:tc>
                <w:tcPr>
                  <w:tcW w:w="589" w:type="pct"/>
                  <w:noWrap w:val="0"/>
                  <w:vAlign w:val="center"/>
                </w:tcPr>
                <w:p w14:paraId="3791FCDC">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5BA20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409" w:type="pct"/>
                  <w:noWrap w:val="0"/>
                  <w:vAlign w:val="center"/>
                </w:tcPr>
                <w:p w14:paraId="2325BED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2</w:t>
                  </w:r>
                </w:p>
              </w:tc>
              <w:tc>
                <w:tcPr>
                  <w:tcW w:w="2771" w:type="pct"/>
                  <w:noWrap w:val="0"/>
                  <w:vAlign w:val="center"/>
                </w:tcPr>
                <w:p w14:paraId="740AA8C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坚决遏制“两高”项目盲目发展。严把高耗能、高排放项目准入关口，严格落实污染物排放削减要求，对不符合规定的项目坚决停批停建，坚决打破“两高”项目路径依赖。严格执行质量、环保、能耗、安全等法规标准，严格落实国家下达我省的钢铁、水泥熟料、烧结砖瓦、电解铝等行业落后产能淘汰和过剩产能压减任务。重点地区严禁新增钢铁、焦化、水泥熟料、平板玻璃、电解铝、氧化铝、聚氯乙烯、烧碱产能，合理控制煤制油气产能规模。</w:t>
                  </w:r>
                </w:p>
              </w:tc>
              <w:tc>
                <w:tcPr>
                  <w:tcW w:w="1229" w:type="pct"/>
                  <w:noWrap w:val="0"/>
                  <w:vAlign w:val="center"/>
                </w:tcPr>
                <w:p w14:paraId="02058756">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both"/>
                    <w:textAlignment w:val="auto"/>
                    <w:rPr>
                      <w:rFonts w:hint="default" w:ascii="Times New Roman" w:hAnsi="Times New Roman" w:cs="Times New Roman"/>
                      <w:color w:val="auto"/>
                      <w:kern w:val="0"/>
                      <w:sz w:val="21"/>
                      <w:szCs w:val="21"/>
                      <w:highlight w:val="none"/>
                      <w:lang w:val="en-US"/>
                    </w:rPr>
                  </w:pPr>
                  <w:r>
                    <w:rPr>
                      <w:rFonts w:hint="default" w:ascii="Times New Roman" w:hAnsi="Times New Roman" w:cs="Times New Roman"/>
                      <w:color w:val="auto"/>
                      <w:kern w:val="0"/>
                      <w:sz w:val="21"/>
                      <w:szCs w:val="21"/>
                      <w:highlight w:val="none"/>
                      <w:lang w:val="en-US" w:eastAsia="zh-CN"/>
                    </w:rPr>
                    <w:t>本项目</w:t>
                  </w:r>
                  <w:r>
                    <w:rPr>
                      <w:rFonts w:hint="eastAsia" w:cs="Times New Roman"/>
                      <w:color w:val="auto"/>
                      <w:kern w:val="0"/>
                      <w:sz w:val="21"/>
                      <w:szCs w:val="21"/>
                      <w:highlight w:val="none"/>
                      <w:lang w:val="en-US" w:eastAsia="zh-CN"/>
                    </w:rPr>
                    <w:t>属于燃气热水锅炉供热项目，不属于“两高”项目。</w:t>
                  </w:r>
                </w:p>
              </w:tc>
              <w:tc>
                <w:tcPr>
                  <w:tcW w:w="589" w:type="pct"/>
                  <w:noWrap w:val="0"/>
                  <w:vAlign w:val="center"/>
                </w:tcPr>
                <w:p w14:paraId="73BAD1FD">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r w14:paraId="52E8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409" w:type="pct"/>
                  <w:noWrap w:val="0"/>
                  <w:vAlign w:val="center"/>
                </w:tcPr>
                <w:p w14:paraId="7EBB1019">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3</w:t>
                  </w:r>
                </w:p>
              </w:tc>
              <w:tc>
                <w:tcPr>
                  <w:tcW w:w="2771" w:type="pct"/>
                  <w:noWrap w:val="0"/>
                  <w:vAlign w:val="center"/>
                </w:tcPr>
                <w:p w14:paraId="08C7F1D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严格控制煤炭消费总量。开展煤炭消费减量等量替代，稳步推进煤炭消费总量负增长。强化节能审查，新建、改建、扩建新增煤炭消费的固定资产投资项目实施煤炭消费减量或等量替代。坚持“增气减煤”，新增天然气优先保障居民生活和清洁取暖需求。</w:t>
                  </w:r>
                </w:p>
              </w:tc>
              <w:tc>
                <w:tcPr>
                  <w:tcW w:w="1229" w:type="pct"/>
                  <w:noWrap w:val="0"/>
                  <w:vAlign w:val="center"/>
                </w:tcPr>
                <w:p w14:paraId="7EA317B8">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本项目锅炉采用天然气作为燃料，属于清洁能源。</w:t>
                  </w:r>
                </w:p>
              </w:tc>
              <w:tc>
                <w:tcPr>
                  <w:tcW w:w="589" w:type="pct"/>
                  <w:noWrap w:val="0"/>
                  <w:vAlign w:val="center"/>
                </w:tcPr>
                <w:p w14:paraId="0D353ECB">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bl>
          <w:p w14:paraId="2670265E">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left"/>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1.3.3</w:t>
            </w:r>
            <w:r>
              <w:rPr>
                <w:rFonts w:hint="default" w:ascii="Times New Roman" w:hAnsi="Times New Roman" w:eastAsia="宋体" w:cs="Times New Roman"/>
                <w:b/>
                <w:bCs/>
                <w:color w:val="auto"/>
                <w:kern w:val="0"/>
                <w:sz w:val="24"/>
                <w:szCs w:val="24"/>
                <w:highlight w:val="none"/>
                <w:lang w:val="en-US" w:eastAsia="zh-CN"/>
              </w:rPr>
              <w:t>与长治市人民政府关于印发长治市落实《空气质量持续改善行动计划》</w:t>
            </w:r>
            <w:r>
              <w:rPr>
                <w:rFonts w:hint="eastAsia" w:cs="Times New Roman"/>
                <w:b/>
                <w:bCs/>
                <w:color w:val="auto"/>
                <w:kern w:val="0"/>
                <w:sz w:val="24"/>
                <w:szCs w:val="24"/>
                <w:highlight w:val="none"/>
                <w:lang w:val="en-US" w:eastAsia="zh-CN"/>
              </w:rPr>
              <w:t>（长政发〔2024〕4号）</w:t>
            </w:r>
            <w:r>
              <w:rPr>
                <w:rFonts w:hint="default" w:ascii="Times New Roman" w:hAnsi="Times New Roman" w:eastAsia="宋体" w:cs="Times New Roman"/>
                <w:b/>
                <w:bCs/>
                <w:color w:val="auto"/>
                <w:kern w:val="0"/>
                <w:sz w:val="24"/>
                <w:szCs w:val="24"/>
                <w:highlight w:val="none"/>
                <w:lang w:val="en-US" w:eastAsia="zh-CN"/>
              </w:rPr>
              <w:t>实施方案的通知符合性分析</w:t>
            </w:r>
          </w:p>
          <w:p w14:paraId="0ABFED01">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kern w:val="0"/>
                <w:sz w:val="21"/>
                <w:szCs w:val="20"/>
                <w:highlight w:val="none"/>
                <w:lang w:val="en-US" w:eastAsia="zh-CN" w:bidi="ar-SA"/>
              </w:rPr>
            </w:pPr>
            <w:r>
              <w:rPr>
                <w:rFonts w:hint="default" w:ascii="Times New Roman" w:hAnsi="Times New Roman" w:eastAsia="黑体" w:cs="Times New Roman"/>
                <w:iCs/>
                <w:snapToGrid w:val="0"/>
                <w:color w:val="auto"/>
                <w:kern w:val="0"/>
                <w:sz w:val="21"/>
                <w:szCs w:val="20"/>
                <w:highlight w:val="none"/>
                <w:lang w:val="en-US" w:eastAsia="zh-CN" w:bidi="ar-SA"/>
              </w:rPr>
              <w:t xml:space="preserve">表 </w:t>
            </w:r>
            <w:r>
              <w:rPr>
                <w:rFonts w:hint="eastAsia" w:ascii="Times New Roman" w:hAnsi="Times New Roman" w:eastAsia="黑体" w:cs="Times New Roman"/>
                <w:iCs/>
                <w:snapToGrid w:val="0"/>
                <w:color w:val="auto"/>
                <w:kern w:val="0"/>
                <w:sz w:val="21"/>
                <w:szCs w:val="20"/>
                <w:highlight w:val="none"/>
                <w:lang w:val="en-US" w:eastAsia="zh-CN" w:bidi="ar-SA"/>
              </w:rPr>
              <w:t>1.</w:t>
            </w:r>
            <w:r>
              <w:rPr>
                <w:rFonts w:hint="eastAsia" w:eastAsia="黑体" w:cs="Times New Roman"/>
                <w:iCs/>
                <w:snapToGrid w:val="0"/>
                <w:color w:val="auto"/>
                <w:kern w:val="0"/>
                <w:sz w:val="21"/>
                <w:szCs w:val="20"/>
                <w:highlight w:val="none"/>
                <w:lang w:val="en-US" w:eastAsia="zh-CN" w:bidi="ar-SA"/>
              </w:rPr>
              <w:t>3</w:t>
            </w:r>
            <w:r>
              <w:rPr>
                <w:rFonts w:hint="eastAsia" w:ascii="Times New Roman" w:hAnsi="Times New Roman" w:eastAsia="黑体" w:cs="Times New Roman"/>
                <w:iCs/>
                <w:snapToGrid w:val="0"/>
                <w:color w:val="auto"/>
                <w:kern w:val="0"/>
                <w:sz w:val="21"/>
                <w:szCs w:val="20"/>
                <w:highlight w:val="none"/>
                <w:lang w:val="en-US" w:eastAsia="zh-CN" w:bidi="ar-SA"/>
              </w:rPr>
              <w:t>-</w:t>
            </w:r>
            <w:r>
              <w:rPr>
                <w:rFonts w:hint="eastAsia" w:eastAsia="黑体" w:cs="Times New Roman"/>
                <w:iCs/>
                <w:snapToGrid w:val="0"/>
                <w:color w:val="auto"/>
                <w:kern w:val="0"/>
                <w:sz w:val="21"/>
                <w:szCs w:val="20"/>
                <w:highlight w:val="none"/>
                <w:lang w:val="en-US" w:eastAsia="zh-CN" w:bidi="ar-SA"/>
              </w:rPr>
              <w:t>3</w:t>
            </w:r>
            <w:r>
              <w:rPr>
                <w:rFonts w:hint="default" w:ascii="Times New Roman" w:hAnsi="Times New Roman" w:eastAsia="黑体" w:cs="Times New Roman"/>
                <w:iCs/>
                <w:snapToGrid w:val="0"/>
                <w:color w:val="auto"/>
                <w:kern w:val="0"/>
                <w:sz w:val="21"/>
                <w:szCs w:val="20"/>
                <w:highlight w:val="none"/>
                <w:lang w:val="en-US" w:eastAsia="zh-CN" w:bidi="ar-SA"/>
              </w:rPr>
              <w:t xml:space="preserve"> </w:t>
            </w:r>
            <w:r>
              <w:rPr>
                <w:rFonts w:hint="eastAsia" w:ascii="Times New Roman" w:hAnsi="Times New Roman" w:eastAsia="黑体" w:cs="Times New Roman"/>
                <w:iCs/>
                <w:snapToGrid w:val="0"/>
                <w:color w:val="auto"/>
                <w:kern w:val="0"/>
                <w:sz w:val="21"/>
                <w:szCs w:val="20"/>
                <w:highlight w:val="none"/>
                <w:lang w:val="en-US" w:eastAsia="zh-CN" w:bidi="ar-SA"/>
              </w:rPr>
              <w:t xml:space="preserve"> </w:t>
            </w:r>
            <w:r>
              <w:rPr>
                <w:rFonts w:hint="default" w:ascii="Times New Roman" w:hAnsi="Times New Roman" w:eastAsia="黑体" w:cs="Times New Roman"/>
                <w:iCs/>
                <w:snapToGrid w:val="0"/>
                <w:color w:val="auto"/>
                <w:kern w:val="0"/>
                <w:sz w:val="21"/>
                <w:szCs w:val="20"/>
                <w:highlight w:val="none"/>
                <w:lang w:val="en-US" w:eastAsia="zh-CN" w:bidi="ar-SA"/>
              </w:rPr>
              <w:t>与《空气质量持续改善行动计划》符合性分析</w:t>
            </w:r>
          </w:p>
          <w:tbl>
            <w:tblPr>
              <w:tblStyle w:val="2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4073"/>
              <w:gridCol w:w="2106"/>
              <w:gridCol w:w="798"/>
            </w:tblGrid>
            <w:tr w14:paraId="03D3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51" w:type="pct"/>
                  <w:noWrap w:val="0"/>
                  <w:vAlign w:val="center"/>
                </w:tcPr>
                <w:p w14:paraId="407529DE">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序号</w:t>
                  </w:r>
                </w:p>
              </w:tc>
              <w:tc>
                <w:tcPr>
                  <w:tcW w:w="2713" w:type="pct"/>
                  <w:noWrap w:val="0"/>
                  <w:vAlign w:val="center"/>
                </w:tcPr>
                <w:p w14:paraId="66BB270A">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要求</w:t>
                  </w:r>
                </w:p>
              </w:tc>
              <w:tc>
                <w:tcPr>
                  <w:tcW w:w="1403" w:type="pct"/>
                  <w:noWrap w:val="0"/>
                  <w:vAlign w:val="center"/>
                </w:tcPr>
                <w:p w14:paraId="2370DE15">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本项目具体情况</w:t>
                  </w:r>
                </w:p>
              </w:tc>
              <w:tc>
                <w:tcPr>
                  <w:tcW w:w="531" w:type="pct"/>
                  <w:noWrap w:val="0"/>
                  <w:vAlign w:val="center"/>
                </w:tcPr>
                <w:p w14:paraId="167C8C09">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b w:val="0"/>
                      <w:bCs/>
                      <w:color w:val="auto"/>
                      <w:sz w:val="21"/>
                      <w:szCs w:val="21"/>
                    </w:rPr>
                    <w:t>符合性</w:t>
                  </w:r>
                </w:p>
              </w:tc>
            </w:tr>
            <w:tr w14:paraId="66C5D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351" w:type="pct"/>
                  <w:noWrap w:val="0"/>
                  <w:vAlign w:val="center"/>
                </w:tcPr>
                <w:p w14:paraId="4E85B69F">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val="en-US" w:eastAsia="zh-CN"/>
                    </w:rPr>
                    <w:t>1</w:t>
                  </w:r>
                </w:p>
              </w:tc>
              <w:tc>
                <w:tcPr>
                  <w:tcW w:w="2713" w:type="pct"/>
                  <w:noWrap w:val="0"/>
                  <w:vAlign w:val="center"/>
                </w:tcPr>
                <w:p w14:paraId="082E8FB2">
                  <w:pPr>
                    <w:pStyle w:val="5"/>
                    <w:keepNext w:val="0"/>
                    <w:keepLines w:val="0"/>
                    <w:pageBreakBefore w:val="0"/>
                    <w:widowControl w:val="0"/>
                    <w:kinsoku/>
                    <w:wordWrap/>
                    <w:overflowPunct/>
                    <w:topLinePunct w:val="0"/>
                    <w:bidi w:val="0"/>
                    <w:spacing w:line="300" w:lineRule="exact"/>
                    <w:ind w:firstLine="0" w:firstLineChars="0"/>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确保工业企业稳定达标排放。加强治污设施运行维护，确保稳定达标排放。开展锅炉和工业炉窑简易低效污染治理设施排查，通过“淘汰一批、提升一批”等方式实施分类处置。燃煤锅炉、燃气锅炉、生物质锅炉稳定达到《锅炉大气污染物排放标准》（DB14／1929－2019）相关排放标准要求。</w:t>
                  </w:r>
                </w:p>
              </w:tc>
              <w:tc>
                <w:tcPr>
                  <w:tcW w:w="1403" w:type="pct"/>
                  <w:noWrap w:val="0"/>
                  <w:vAlign w:val="center"/>
                </w:tcPr>
                <w:p w14:paraId="11C615C9">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both"/>
                    <w:textAlignment w:val="auto"/>
                    <w:rPr>
                      <w:rFonts w:hint="default" w:ascii="Times New Roman" w:hAnsi="Times New Roman" w:eastAsia="宋体"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本项目锅炉采用天然气作为燃料，大气污染物排放浓度满足《锅炉大气污染物排放标准》（DB14/1929-2019）中表3排放浓度限值要求。</w:t>
                  </w:r>
                </w:p>
              </w:tc>
              <w:tc>
                <w:tcPr>
                  <w:tcW w:w="531" w:type="pct"/>
                  <w:noWrap w:val="0"/>
                  <w:vAlign w:val="center"/>
                </w:tcPr>
                <w:p w14:paraId="5F0F8D31">
                  <w:pPr>
                    <w:keepNext w:val="0"/>
                    <w:keepLines w:val="0"/>
                    <w:pageBreakBefore w:val="0"/>
                    <w:widowControl w:val="0"/>
                    <w:kinsoku/>
                    <w:wordWrap/>
                    <w:overflowPunct/>
                    <w:topLinePunct w:val="0"/>
                    <w:autoSpaceDE w:val="0"/>
                    <w:autoSpaceDN w:val="0"/>
                    <w:bidi w:val="0"/>
                    <w:adjustRightInd w:val="0"/>
                    <w:snapToGrid w:val="0"/>
                    <w:spacing w:line="300" w:lineRule="exact"/>
                    <w:ind w:left="0" w:leftChars="0" w:firstLine="0" w:firstLineChars="0"/>
                    <w:jc w:val="center"/>
                    <w:textAlignment w:val="auto"/>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符合</w:t>
                  </w:r>
                </w:p>
              </w:tc>
            </w:tr>
          </w:tbl>
          <w:p w14:paraId="3D3757BA">
            <w:pPr>
              <w:spacing w:line="480" w:lineRule="atLeast"/>
              <w:ind w:firstLine="506" w:firstLineChars="200"/>
              <w:rPr>
                <w:rFonts w:hint="eastAsia" w:cs="Times New Roman"/>
                <w:b/>
                <w:bCs w:val="0"/>
                <w:color w:val="auto"/>
                <w:spacing w:val="6"/>
                <w:kern w:val="2"/>
                <w:sz w:val="24"/>
                <w:highlight w:val="none"/>
                <w:lang w:val="en-US" w:eastAsia="zh-CN"/>
              </w:rPr>
            </w:pPr>
            <w:r>
              <w:rPr>
                <w:rFonts w:hint="eastAsia" w:cs="Times New Roman"/>
                <w:b/>
                <w:bCs w:val="0"/>
                <w:color w:val="auto"/>
                <w:spacing w:val="6"/>
                <w:kern w:val="2"/>
                <w:sz w:val="24"/>
                <w:highlight w:val="none"/>
                <w:lang w:val="en-US" w:eastAsia="zh-CN"/>
              </w:rPr>
              <w:t>1</w:t>
            </w:r>
            <w:r>
              <w:rPr>
                <w:rFonts w:hint="eastAsia" w:ascii="Times New Roman" w:hAnsi="Times New Roman" w:eastAsia="宋体" w:cs="Times New Roman"/>
                <w:b/>
                <w:bCs w:val="0"/>
                <w:color w:val="auto"/>
                <w:spacing w:val="6"/>
                <w:kern w:val="2"/>
                <w:sz w:val="24"/>
                <w:highlight w:val="none"/>
                <w:lang w:val="en-US" w:eastAsia="zh-CN"/>
              </w:rPr>
              <w:t>.</w:t>
            </w:r>
            <w:r>
              <w:rPr>
                <w:rFonts w:hint="eastAsia" w:cs="Times New Roman"/>
                <w:b/>
                <w:bCs w:val="0"/>
                <w:color w:val="auto"/>
                <w:spacing w:val="6"/>
                <w:kern w:val="2"/>
                <w:sz w:val="24"/>
                <w:highlight w:val="none"/>
                <w:lang w:val="en-US" w:eastAsia="zh-CN"/>
              </w:rPr>
              <w:t>3.4与辛安泉域影响分析</w:t>
            </w:r>
          </w:p>
          <w:p w14:paraId="184E6AC3">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辛安泉域位于山西省东南部，区域面积主要为长治市大部分地区和晋中地区榆社县。它作为长治市、潞城市城市生活用水的主要来源，是我省第二大岩溶泉群。该泉群出露于长治市东北约30公里的潞城、黎城和平顺县交界的浊漳河河谷之中，泉水沿河谷分散出流，分布于自西流至北耽车，长约15公里的河谷地带，出露高程600～643m，出露地层为奥陶系中统。泉域多年平均流量为11.9m</w:t>
            </w:r>
            <w:r>
              <w:rPr>
                <w:rFonts w:hint="default" w:ascii="Times New Roman" w:hAnsi="Times New Roman" w:eastAsia="宋体" w:cs="Times New Roman"/>
                <w:bCs/>
                <w:color w:val="auto"/>
                <w:spacing w:val="6"/>
                <w:kern w:val="2"/>
                <w:sz w:val="24"/>
                <w:highlight w:val="none"/>
                <w:vertAlign w:val="superscript"/>
                <w:lang w:val="en-US" w:eastAsia="zh-CN"/>
              </w:rPr>
              <w:t>3</w:t>
            </w:r>
            <w:r>
              <w:rPr>
                <w:rFonts w:hint="default" w:ascii="Times New Roman" w:hAnsi="Times New Roman" w:eastAsia="宋体" w:cs="Times New Roman"/>
                <w:bCs/>
                <w:color w:val="auto"/>
                <w:spacing w:val="6"/>
                <w:kern w:val="2"/>
                <w:sz w:val="24"/>
                <w:highlight w:val="none"/>
                <w:lang w:val="en-US" w:eastAsia="zh-CN"/>
              </w:rPr>
              <w:t>/s，受季节影响，浊漳河丰、枯水期水量变化相对较大。泉域总面积10950km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，其中碳酸盐岩裸露区面积2200km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，覆盖、埋藏区8750km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w:t>
            </w:r>
          </w:p>
          <w:p w14:paraId="41E473C7">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泉域边界：北界以浊漳河和汾河及沁河的地表水分岭为界。西界以沁县和沁源县的行政边界为界。南界以浊漳河和沁河及丹河的地表水分岭为界。东界以浊漳河与清漳河的地表水分岭和娘子关泉域为界。</w:t>
            </w:r>
          </w:p>
          <w:p w14:paraId="6F5BF8D5">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泉域重点保护范围：</w:t>
            </w:r>
          </w:p>
          <w:p w14:paraId="40D6C2D5">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（1）泉水集中出露带：以浊漳河为轴线，北起黎城县南赵店桥，顺浊漳河谷向下游，至平顺县北耽车，包括河谷两岸地带；西起山西化肥厂排污渠道，两侧宽200m，至辛安桥下河道，面积48km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w:t>
            </w:r>
          </w:p>
          <w:p w14:paraId="477AF50C">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default" w:ascii="Times New Roman" w:hAnsi="Times New Roman" w:eastAsia="宋体" w:cs="Times New Roman"/>
                <w:bCs/>
                <w:color w:val="auto"/>
                <w:spacing w:val="6"/>
                <w:kern w:val="2"/>
                <w:sz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（2）文王山地垒渗漏段：自黄碾南铁路桥上游500m起，顺浊漳河南源主河道，左右两侧各500m，向下游至与浊漳河西源汇流处，面积18km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。两处合计面积66km</w:t>
            </w:r>
            <w:r>
              <w:rPr>
                <w:rFonts w:hint="default" w:ascii="Times New Roman" w:hAnsi="Times New Roman" w:eastAsia="宋体" w:cs="Times New Roman"/>
                <w:bCs/>
                <w:color w:val="auto"/>
                <w:spacing w:val="6"/>
                <w:kern w:val="2"/>
                <w:sz w:val="24"/>
                <w:highlight w:val="none"/>
                <w:vertAlign w:val="superscript"/>
                <w:lang w:val="en-US" w:eastAsia="zh-CN"/>
              </w:rPr>
              <w:t>2</w:t>
            </w:r>
            <w:r>
              <w:rPr>
                <w:rFonts w:hint="default" w:ascii="Times New Roman" w:hAnsi="Times New Roman" w:eastAsia="宋体" w:cs="Times New Roman"/>
                <w:bCs/>
                <w:color w:val="auto"/>
                <w:spacing w:val="6"/>
                <w:kern w:val="2"/>
                <w:sz w:val="24"/>
                <w:highlight w:val="none"/>
                <w:lang w:val="en-US" w:eastAsia="zh-CN"/>
              </w:rPr>
              <w:t>。</w:t>
            </w:r>
          </w:p>
          <w:p w14:paraId="0BEAA607">
            <w:pPr>
              <w:keepNext w:val="0"/>
              <w:keepLines w:val="0"/>
              <w:pageBreakBefore w:val="0"/>
              <w:widowControl w:val="0"/>
              <w:kinsoku/>
              <w:wordWrap/>
              <w:overflowPunct/>
              <w:topLinePunct w:val="0"/>
              <w:autoSpaceDE w:val="0"/>
              <w:autoSpaceDN w:val="0"/>
              <w:bidi w:val="0"/>
              <w:adjustRightInd w:val="0"/>
              <w:snapToGrid w:val="0"/>
              <w:spacing w:line="480" w:lineRule="exact"/>
              <w:ind w:firstLine="504" w:firstLineChars="200"/>
              <w:jc w:val="both"/>
              <w:textAlignment w:val="auto"/>
              <w:rPr>
                <w:rFonts w:hint="eastAsia" w:cs="Times New Roman"/>
                <w:b/>
                <w:bCs/>
                <w:color w:val="auto"/>
                <w:kern w:val="0"/>
                <w:sz w:val="24"/>
                <w:szCs w:val="24"/>
                <w:highlight w:val="none"/>
                <w:lang w:val="en-US" w:eastAsia="zh-CN"/>
              </w:rPr>
            </w:pPr>
            <w:r>
              <w:rPr>
                <w:rFonts w:hint="default" w:ascii="Times New Roman" w:hAnsi="Times New Roman" w:eastAsia="宋体" w:cs="Times New Roman"/>
                <w:bCs/>
                <w:color w:val="auto"/>
                <w:spacing w:val="6"/>
                <w:kern w:val="2"/>
                <w:sz w:val="24"/>
                <w:highlight w:val="none"/>
                <w:lang w:val="en-US" w:eastAsia="zh-CN"/>
              </w:rPr>
              <w:t>本项目厂址位于辛安泉域内，但不在泉域的重点保护范围之内。</w:t>
            </w:r>
          </w:p>
          <w:p w14:paraId="6FF2559E">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kern w:val="0"/>
                <w:sz w:val="24"/>
                <w:szCs w:val="24"/>
                <w:highlight w:val="none"/>
                <w:lang w:eastAsia="zh-CN"/>
              </w:rPr>
            </w:pPr>
            <w:r>
              <w:rPr>
                <w:rFonts w:hint="eastAsia" w:cs="Times New Roman"/>
                <w:b/>
                <w:bCs/>
                <w:color w:val="auto"/>
                <w:kern w:val="0"/>
                <w:sz w:val="24"/>
                <w:szCs w:val="24"/>
                <w:highlight w:val="none"/>
                <w:lang w:val="en-US" w:eastAsia="zh-CN"/>
              </w:rPr>
              <w:t>1.3.5</w:t>
            </w:r>
            <w:r>
              <w:rPr>
                <w:rFonts w:hint="default" w:ascii="Times New Roman" w:hAnsi="Times New Roman" w:eastAsia="宋体" w:cs="Times New Roman"/>
                <w:b/>
                <w:bCs/>
                <w:color w:val="auto"/>
                <w:kern w:val="0"/>
                <w:sz w:val="24"/>
                <w:szCs w:val="24"/>
                <w:highlight w:val="none"/>
              </w:rPr>
              <w:t>与</w:t>
            </w:r>
            <w:r>
              <w:rPr>
                <w:rFonts w:hint="default" w:ascii="Times New Roman" w:hAnsi="Times New Roman" w:eastAsia="宋体" w:cs="Times New Roman"/>
                <w:b/>
                <w:bCs/>
                <w:color w:val="auto"/>
                <w:kern w:val="0"/>
                <w:sz w:val="24"/>
                <w:szCs w:val="24"/>
                <w:highlight w:val="none"/>
                <w:lang w:val="en-US" w:eastAsia="zh-CN"/>
              </w:rPr>
              <w:t>《长子县国土空间总体规划（2021-2035年）》</w:t>
            </w:r>
            <w:r>
              <w:rPr>
                <w:rFonts w:hint="default" w:ascii="Times New Roman" w:hAnsi="Times New Roman" w:eastAsia="宋体" w:cs="Times New Roman"/>
                <w:b/>
                <w:bCs/>
                <w:color w:val="auto"/>
                <w:kern w:val="0"/>
                <w:sz w:val="24"/>
                <w:szCs w:val="24"/>
                <w:highlight w:val="none"/>
              </w:rPr>
              <w:t>符合性分析</w:t>
            </w:r>
          </w:p>
          <w:p w14:paraId="123D66E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（1）规划期限</w:t>
            </w:r>
          </w:p>
          <w:p w14:paraId="2AA79D0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规划期限为2021年至2035年。近期目标年为2025年，</w:t>
            </w:r>
            <w:r>
              <w:rPr>
                <w:rFonts w:hint="default" w:ascii="Times New Roman" w:hAnsi="Times New Roman" w:eastAsia="宋体" w:cs="Times New Roman"/>
                <w:color w:val="auto"/>
                <w:kern w:val="0"/>
                <w:sz w:val="24"/>
                <w:szCs w:val="24"/>
                <w:highlight w:val="none"/>
                <w:lang w:val="en-US" w:eastAsia="zh-CN"/>
              </w:rPr>
              <w:t>远期</w:t>
            </w:r>
            <w:r>
              <w:rPr>
                <w:rFonts w:hint="default" w:ascii="Times New Roman" w:hAnsi="Times New Roman" w:eastAsia="宋体" w:cs="Times New Roman"/>
                <w:color w:val="auto"/>
                <w:kern w:val="0"/>
                <w:sz w:val="24"/>
                <w:szCs w:val="24"/>
                <w:highlight w:val="none"/>
                <w:lang w:eastAsia="zh-CN"/>
              </w:rPr>
              <w:t>目标年为2035年，</w:t>
            </w:r>
            <w:r>
              <w:rPr>
                <w:rFonts w:hint="default" w:ascii="Times New Roman" w:hAnsi="Times New Roman" w:eastAsia="宋体" w:cs="Times New Roman"/>
                <w:color w:val="auto"/>
                <w:kern w:val="0"/>
                <w:sz w:val="24"/>
                <w:szCs w:val="24"/>
                <w:highlight w:val="none"/>
                <w:lang w:val="en-US" w:eastAsia="zh-CN"/>
              </w:rPr>
              <w:t>远景</w:t>
            </w:r>
            <w:r>
              <w:rPr>
                <w:rFonts w:hint="default" w:ascii="Times New Roman" w:hAnsi="Times New Roman" w:eastAsia="宋体" w:cs="Times New Roman"/>
                <w:color w:val="auto"/>
                <w:kern w:val="0"/>
                <w:sz w:val="24"/>
                <w:szCs w:val="24"/>
                <w:highlight w:val="none"/>
                <w:lang w:eastAsia="zh-CN"/>
              </w:rPr>
              <w:t>展望至2050年。</w:t>
            </w:r>
          </w:p>
          <w:p w14:paraId="6D170CA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 xml:space="preserve">（2）规划范围 </w:t>
            </w:r>
          </w:p>
          <w:p w14:paraId="2FB456D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本次总体规划范围为</w:t>
            </w:r>
            <w:r>
              <w:rPr>
                <w:rFonts w:hint="default" w:ascii="Times New Roman" w:hAnsi="Times New Roman" w:eastAsia="宋体" w:cs="Times New Roman"/>
                <w:color w:val="auto"/>
                <w:kern w:val="0"/>
                <w:sz w:val="24"/>
                <w:szCs w:val="24"/>
                <w:highlight w:val="none"/>
                <w:lang w:val="en-US" w:eastAsia="zh-CN"/>
              </w:rPr>
              <w:t>长子县</w:t>
            </w:r>
            <w:r>
              <w:rPr>
                <w:rFonts w:hint="default" w:ascii="Times New Roman" w:hAnsi="Times New Roman" w:eastAsia="宋体" w:cs="Times New Roman"/>
                <w:color w:val="auto"/>
                <w:kern w:val="0"/>
                <w:sz w:val="24"/>
                <w:szCs w:val="24"/>
                <w:highlight w:val="none"/>
                <w:lang w:eastAsia="zh-CN"/>
              </w:rPr>
              <w:t>行政辖区，</w:t>
            </w:r>
            <w:r>
              <w:rPr>
                <w:rFonts w:hint="default" w:ascii="Times New Roman" w:hAnsi="Times New Roman" w:eastAsia="宋体" w:cs="Times New Roman"/>
                <w:color w:val="auto"/>
                <w:kern w:val="0"/>
                <w:sz w:val="24"/>
                <w:szCs w:val="24"/>
                <w:highlight w:val="none"/>
                <w:lang w:val="en-US" w:eastAsia="zh-CN"/>
              </w:rPr>
              <w:t>全域国土空间总</w:t>
            </w:r>
            <w:r>
              <w:rPr>
                <w:rFonts w:hint="default" w:ascii="Times New Roman" w:hAnsi="Times New Roman" w:eastAsia="宋体" w:cs="Times New Roman"/>
                <w:color w:val="auto"/>
                <w:kern w:val="0"/>
                <w:sz w:val="24"/>
                <w:szCs w:val="24"/>
                <w:highlight w:val="none"/>
                <w:lang w:eastAsia="zh-CN"/>
              </w:rPr>
              <w:t>面积</w:t>
            </w:r>
            <w:r>
              <w:rPr>
                <w:rFonts w:hint="default" w:ascii="Times New Roman" w:hAnsi="Times New Roman" w:eastAsia="宋体" w:cs="Times New Roman"/>
                <w:color w:val="auto"/>
                <w:kern w:val="0"/>
                <w:sz w:val="24"/>
                <w:szCs w:val="24"/>
                <w:highlight w:val="none"/>
                <w:lang w:val="en-US" w:eastAsia="zh-CN"/>
              </w:rPr>
              <w:t>1029</w:t>
            </w:r>
            <w:r>
              <w:rPr>
                <w:rFonts w:hint="default" w:ascii="Times New Roman" w:hAnsi="Times New Roman" w:eastAsia="宋体" w:cs="Times New Roman"/>
                <w:color w:val="auto"/>
                <w:kern w:val="0"/>
                <w:sz w:val="24"/>
                <w:szCs w:val="24"/>
                <w:highlight w:val="none"/>
                <w:lang w:eastAsia="zh-CN"/>
              </w:rPr>
              <w:t>平方公里。</w:t>
            </w:r>
          </w:p>
          <w:p w14:paraId="7884805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（3）</w:t>
            </w:r>
            <w:r>
              <w:rPr>
                <w:rFonts w:hint="default" w:ascii="Times New Roman" w:hAnsi="Times New Roman" w:eastAsia="宋体" w:cs="Times New Roman"/>
                <w:color w:val="auto"/>
                <w:kern w:val="0"/>
                <w:sz w:val="24"/>
                <w:szCs w:val="24"/>
                <w:highlight w:val="none"/>
                <w:lang w:val="en-US" w:eastAsia="zh-CN"/>
              </w:rPr>
              <w:t>国土空间开发保护</w:t>
            </w:r>
            <w:r>
              <w:rPr>
                <w:rFonts w:hint="default" w:ascii="Times New Roman" w:hAnsi="Times New Roman" w:eastAsia="宋体" w:cs="Times New Roman"/>
                <w:color w:val="auto"/>
                <w:kern w:val="0"/>
                <w:sz w:val="24"/>
                <w:szCs w:val="24"/>
                <w:highlight w:val="none"/>
                <w:lang w:eastAsia="zh-CN"/>
              </w:rPr>
              <w:t>目标</w:t>
            </w:r>
          </w:p>
          <w:p w14:paraId="4B12D35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2025年产业转型出雏形，产业体系初步框架完善，全县经济社会发展稳步推进；生态文明建设加快，绿色、低碳、循环成为发展主基调，国土空间主体功能和生态安全格局基本形成；区域协调、生态建设、民生保障、文明进步、县域治理、乡村振兴等方面取得重大进展。</w:t>
            </w:r>
          </w:p>
          <w:p w14:paraId="75F9D83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2035年全面建成长治市域副中心城市，突显中心带动作用；全县经济的高质量发展、全体人民共同富裕实现大的跨越；新型工业化、信息化、城镇化、农业农村现代化基本实现；生态环境质量优良，基本农田量稳质高，土地利用集约高效，国土空间主体功能和生态安全格局趋于成熟；全面建成绿色、文化、开放、健康、宜居的新长子，谱写高质量发展新篇章。</w:t>
            </w:r>
          </w:p>
          <w:p w14:paraId="332A32F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eastAsia="zh-CN"/>
              </w:rPr>
              <w:t>（4）战略</w:t>
            </w:r>
            <w:r>
              <w:rPr>
                <w:rFonts w:hint="default" w:ascii="Times New Roman" w:hAnsi="Times New Roman" w:eastAsia="宋体" w:cs="Times New Roman"/>
                <w:color w:val="auto"/>
                <w:kern w:val="0"/>
                <w:sz w:val="24"/>
                <w:szCs w:val="24"/>
                <w:highlight w:val="none"/>
                <w:lang w:val="en-US" w:eastAsia="zh-CN"/>
              </w:rPr>
              <w:t>定位</w:t>
            </w:r>
          </w:p>
          <w:p w14:paraId="4641069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 xml:space="preserve">①依托煤炭、煤层气、风力、农业基础及旅游资源，打造晋东南经济区重要的产业转型升级示范基地。以能源产业、现代农业、特色文化旅游业为主导产业，积极培育创新产业，形成生态友好、低碳循环、科技创新的现代产业体系。 </w:t>
            </w:r>
          </w:p>
          <w:p w14:paraId="4BD9415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②深入挖掘历史文化资源，以独一无二的神话典故，映射中国人民核心价值观，赋予地方特征，打造长治地区地域文化名片，全面提升地区影响力。</w:t>
            </w:r>
          </w:p>
          <w:p w14:paraId="23E1FC2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③全面体现新发展理念，以生态文明引领城市发展，以人民为中心，构筑山水林田湖城生命共同体，形成人、城、境、业高度和谐统一的大美城市形态的城市发展新范式。</w:t>
            </w:r>
          </w:p>
          <w:p w14:paraId="0C560BA9">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 xml:space="preserve">（5）总体格局 </w:t>
            </w:r>
          </w:p>
          <w:p w14:paraId="2984924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val="en-US" w:eastAsia="zh-CN"/>
              </w:rPr>
              <w:t>1）</w:t>
            </w:r>
            <w:r>
              <w:rPr>
                <w:rFonts w:hint="default" w:ascii="Times New Roman" w:hAnsi="Times New Roman" w:eastAsia="宋体" w:cs="Times New Roman"/>
                <w:color w:val="auto"/>
                <w:kern w:val="0"/>
                <w:sz w:val="24"/>
                <w:szCs w:val="24"/>
                <w:highlight w:val="none"/>
                <w:lang w:eastAsia="zh-CN"/>
              </w:rPr>
              <w:t>构建国土空间总体格局</w:t>
            </w:r>
          </w:p>
          <w:p w14:paraId="69CFEBB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总体格局为“一心两廊、一屏一网、三区”。</w:t>
            </w:r>
          </w:p>
          <w:p w14:paraId="2CF405EC">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“一心两廊”：即县城综合服务中心和以省道S326和S228为依托构建的十字型城乡发展走廊。</w:t>
            </w:r>
          </w:p>
          <w:p w14:paraId="2373993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“一屏一网”：即发鸠山生态屏障和全域生态水网。</w:t>
            </w:r>
          </w:p>
          <w:p w14:paraId="4C57E17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lang w:val="en-US" w:eastAsia="zh-CN"/>
              </w:rPr>
              <w:t>三区</w:t>
            </w:r>
            <w:r>
              <w:rPr>
                <w:rFonts w:hint="default" w:ascii="Times New Roman" w:hAnsi="Times New Roman" w:eastAsia="宋体" w:cs="Times New Roman"/>
                <w:color w:val="auto"/>
                <w:kern w:val="0"/>
                <w:sz w:val="24"/>
                <w:szCs w:val="24"/>
                <w:highlight w:val="none"/>
                <w:lang w:eastAsia="zh-CN"/>
              </w:rPr>
              <w:t>”：即西部（浅山和半山区）特色农产品发展区、中部粮食规模化发展区、城郊都市农业发展区。</w:t>
            </w:r>
          </w:p>
          <w:p w14:paraId="51EA9B22">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eastAsia="zh-CN"/>
              </w:rPr>
              <w:t>统筹划定</w:t>
            </w:r>
            <w:r>
              <w:rPr>
                <w:rFonts w:hint="default" w:ascii="Times New Roman" w:hAnsi="Times New Roman" w:eastAsia="宋体" w:cs="Times New Roman"/>
                <w:color w:val="auto"/>
                <w:kern w:val="0"/>
                <w:sz w:val="24"/>
                <w:szCs w:val="24"/>
                <w:highlight w:val="none"/>
                <w:lang w:val="en-US" w:eastAsia="zh-CN"/>
              </w:rPr>
              <w:t>三条</w:t>
            </w:r>
            <w:r>
              <w:rPr>
                <w:rFonts w:hint="default" w:ascii="Times New Roman" w:hAnsi="Times New Roman" w:eastAsia="宋体" w:cs="Times New Roman"/>
                <w:color w:val="auto"/>
                <w:kern w:val="0"/>
                <w:sz w:val="24"/>
                <w:szCs w:val="24"/>
                <w:highlight w:val="none"/>
                <w:lang w:eastAsia="zh-CN"/>
              </w:rPr>
              <w:t>控制线</w:t>
            </w:r>
          </w:p>
          <w:p w14:paraId="262DA36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①永久基本农田保护红线</w:t>
            </w:r>
          </w:p>
          <w:p w14:paraId="1AAA327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到2035年，全县永久基本农田保护面积不少于410.22平方千米。</w:t>
            </w:r>
          </w:p>
          <w:p w14:paraId="648CEEDE">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②生态保护红线</w:t>
            </w:r>
          </w:p>
          <w:p w14:paraId="5B6321E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到2035年，全县生态保护红线控制区面积不少于520.36公顷。</w:t>
            </w:r>
          </w:p>
          <w:p w14:paraId="2B0E70AA">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③城镇开发边界</w:t>
            </w:r>
          </w:p>
          <w:p w14:paraId="0756885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到2035年，全县城镇开发边界面积为2093.93公顷。</w:t>
            </w:r>
          </w:p>
          <w:p w14:paraId="66CEB384">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 xml:space="preserve">（6）本项目符合性分析 </w:t>
            </w:r>
          </w:p>
          <w:p w14:paraId="5E76773B">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eastAsia="宋体" w:cs="Times New Roman"/>
                <w:color w:val="auto"/>
                <w:kern w:val="0"/>
                <w:sz w:val="24"/>
                <w:szCs w:val="24"/>
                <w:highlight w:val="none"/>
                <w:lang w:eastAsia="zh-CN"/>
              </w:rPr>
              <w:t>本项目建设地点位于</w:t>
            </w:r>
            <w:r>
              <w:rPr>
                <w:rFonts w:hint="default" w:ascii="Times New Roman" w:hAnsi="Times New Roman" w:eastAsia="宋体" w:cs="Times New Roman"/>
                <w:color w:val="auto"/>
                <w:kern w:val="0"/>
                <w:sz w:val="24"/>
                <w:szCs w:val="24"/>
                <w:highlight w:val="none"/>
                <w:lang w:val="en-US" w:eastAsia="zh-CN"/>
              </w:rPr>
              <w:t>长治市</w:t>
            </w:r>
            <w:r>
              <w:rPr>
                <w:rFonts w:hint="default" w:ascii="Times New Roman" w:hAnsi="Times New Roman" w:eastAsia="宋体" w:cs="Times New Roman"/>
                <w:color w:val="auto"/>
                <w:kern w:val="0"/>
                <w:sz w:val="24"/>
                <w:szCs w:val="24"/>
                <w:highlight w:val="none"/>
                <w:lang w:eastAsia="zh-CN"/>
              </w:rPr>
              <w:t>长子县慈林镇</w:t>
            </w:r>
            <w:r>
              <w:rPr>
                <w:rFonts w:hint="eastAsia" w:cs="Times New Roman"/>
                <w:color w:val="auto"/>
                <w:kern w:val="0"/>
                <w:sz w:val="24"/>
                <w:szCs w:val="24"/>
                <w:highlight w:val="none"/>
                <w:lang w:eastAsia="zh-CN"/>
              </w:rPr>
              <w:t>山西晋煤集团赵庄煤业有限责任公司</w:t>
            </w:r>
            <w:r>
              <w:rPr>
                <w:rFonts w:hint="default" w:ascii="Times New Roman" w:hAnsi="Times New Roman" w:eastAsia="宋体" w:cs="Times New Roman"/>
                <w:color w:val="auto"/>
                <w:kern w:val="0"/>
                <w:sz w:val="24"/>
                <w:szCs w:val="24"/>
                <w:highlight w:val="none"/>
                <w:lang w:eastAsia="zh-CN"/>
              </w:rPr>
              <w:t>工业场区内，根据《</w:t>
            </w:r>
            <w:r>
              <w:rPr>
                <w:rFonts w:hint="default" w:ascii="Times New Roman" w:hAnsi="Times New Roman" w:eastAsia="宋体" w:cs="Times New Roman"/>
                <w:color w:val="auto"/>
                <w:kern w:val="0"/>
                <w:sz w:val="24"/>
                <w:szCs w:val="24"/>
                <w:highlight w:val="none"/>
                <w:lang w:val="en-US" w:eastAsia="zh-CN"/>
              </w:rPr>
              <w:t>长子县国土空间总体规划（2021-2035年）</w:t>
            </w:r>
            <w:r>
              <w:rPr>
                <w:rFonts w:hint="default" w:ascii="Times New Roman" w:hAnsi="Times New Roman" w:eastAsia="宋体" w:cs="Times New Roman"/>
                <w:color w:val="auto"/>
                <w:kern w:val="0"/>
                <w:sz w:val="24"/>
                <w:szCs w:val="24"/>
                <w:highlight w:val="none"/>
                <w:lang w:eastAsia="zh-CN"/>
              </w:rPr>
              <w:t>》，本项目不在其规划的生态保护红线</w:t>
            </w:r>
            <w:r>
              <w:rPr>
                <w:rFonts w:hint="eastAsia" w:cs="Times New Roman"/>
                <w:color w:val="auto"/>
                <w:kern w:val="0"/>
                <w:sz w:val="24"/>
                <w:szCs w:val="24"/>
                <w:highlight w:val="none"/>
                <w:lang w:val="en-US" w:eastAsia="zh-CN"/>
              </w:rPr>
              <w:t>内，位于</w:t>
            </w:r>
            <w:r>
              <w:rPr>
                <w:rFonts w:hint="default" w:ascii="Times New Roman" w:hAnsi="Times New Roman" w:eastAsia="宋体" w:cs="Times New Roman"/>
                <w:color w:val="auto"/>
                <w:kern w:val="0"/>
                <w:sz w:val="24"/>
                <w:szCs w:val="24"/>
                <w:highlight w:val="none"/>
                <w:lang w:eastAsia="zh-CN"/>
              </w:rPr>
              <w:t>城镇开发</w:t>
            </w:r>
            <w:r>
              <w:rPr>
                <w:rFonts w:hint="eastAsia" w:ascii="Times New Roman" w:hAnsi="Times New Roman" w:eastAsia="宋体" w:cs="Times New Roman"/>
                <w:color w:val="auto"/>
                <w:kern w:val="0"/>
                <w:sz w:val="24"/>
                <w:szCs w:val="24"/>
                <w:highlight w:val="none"/>
                <w:lang w:val="en-US" w:eastAsia="zh-CN"/>
              </w:rPr>
              <w:t>边界</w:t>
            </w:r>
            <w:r>
              <w:rPr>
                <w:rFonts w:hint="default" w:ascii="Times New Roman" w:hAnsi="Times New Roman" w:eastAsia="宋体" w:cs="Times New Roman"/>
                <w:color w:val="auto"/>
                <w:kern w:val="0"/>
                <w:sz w:val="24"/>
                <w:szCs w:val="24"/>
                <w:highlight w:val="none"/>
                <w:lang w:eastAsia="zh-CN"/>
              </w:rPr>
              <w:t>范围内，不占用永久基本农田。本项目的建设不违背</w:t>
            </w:r>
            <w:r>
              <w:rPr>
                <w:rFonts w:hint="default" w:ascii="Times New Roman" w:hAnsi="Times New Roman" w:eastAsia="宋体" w:cs="Times New Roman"/>
                <w:color w:val="auto"/>
                <w:kern w:val="0"/>
                <w:sz w:val="24"/>
                <w:szCs w:val="24"/>
                <w:highlight w:val="none"/>
                <w:lang w:val="en-US" w:eastAsia="zh-CN"/>
              </w:rPr>
              <w:t>长子县</w:t>
            </w:r>
            <w:r>
              <w:rPr>
                <w:rFonts w:hint="default" w:ascii="Times New Roman" w:hAnsi="Times New Roman" w:eastAsia="宋体" w:cs="Times New Roman"/>
                <w:color w:val="auto"/>
                <w:kern w:val="0"/>
                <w:sz w:val="24"/>
                <w:szCs w:val="24"/>
                <w:highlight w:val="none"/>
                <w:lang w:eastAsia="zh-CN"/>
              </w:rPr>
              <w:t>国土空间总体规划的要求。</w:t>
            </w:r>
          </w:p>
          <w:p w14:paraId="5CEEACF9">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4F7DE685">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2B37EF5A">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77CEAC19">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4C9EE42A">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6B14163A">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657FF891">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20915F8E">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6F060652">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70C0244D">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26453482">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7FF59D55">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2BC711E9">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2F5C9DC0">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76A88DE7">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5975CC28">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3C262987">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4618E21B">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3660542B">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3E3A98F4">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122CF9B0">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18988CE4">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p w14:paraId="0F5EB11D">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auto"/>
              <w:rPr>
                <w:rFonts w:hint="default" w:ascii="Times New Roman" w:hAnsi="Times New Roman" w:eastAsia="宋体" w:cs="Times New Roman"/>
                <w:color w:val="auto"/>
                <w:kern w:val="0"/>
                <w:sz w:val="24"/>
                <w:szCs w:val="24"/>
                <w:highlight w:val="none"/>
                <w:lang w:val="en-US" w:eastAsia="zh-CN"/>
              </w:rPr>
            </w:pPr>
          </w:p>
        </w:tc>
      </w:tr>
    </w:tbl>
    <w:p w14:paraId="63B8DC1B">
      <w:pPr>
        <w:spacing w:line="360" w:lineRule="auto"/>
        <w:outlineLvl w:val="0"/>
        <w:rPr>
          <w:rFonts w:hint="default" w:ascii="Times New Roman" w:hAnsi="Times New Roman" w:eastAsia="黑体" w:cs="Times New Roman"/>
          <w:color w:val="auto"/>
          <w:sz w:val="30"/>
          <w:highlight w:val="none"/>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75FC2F21">
      <w:pPr>
        <w:pStyle w:val="19"/>
        <w:jc w:val="center"/>
        <w:outlineLvl w:val="0"/>
        <w:rPr>
          <w:rFonts w:hint="default" w:ascii="Times New Roman" w:hAnsi="Times New Roman" w:eastAsia="黑体" w:cs="Times New Roman"/>
          <w:snapToGrid w:val="0"/>
          <w:color w:val="auto"/>
          <w:sz w:val="30"/>
          <w:szCs w:val="30"/>
          <w:highlight w:val="none"/>
        </w:rPr>
      </w:pPr>
      <w:bookmarkStart w:id="4" w:name="_Toc21071"/>
      <w:r>
        <w:rPr>
          <w:rFonts w:hint="default" w:ascii="Times New Roman" w:hAnsi="Times New Roman" w:eastAsia="黑体" w:cs="Times New Roman"/>
          <w:snapToGrid w:val="0"/>
          <w:color w:val="auto"/>
          <w:sz w:val="30"/>
          <w:szCs w:val="30"/>
          <w:highlight w:val="none"/>
        </w:rPr>
        <w:t>二、建设项目工程分析</w:t>
      </w:r>
      <w:bookmarkEnd w:id="4"/>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1"/>
        <w:gridCol w:w="8220"/>
      </w:tblGrid>
      <w:tr w14:paraId="1490A6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9" w:hRule="atLeast"/>
          <w:jc w:val="center"/>
        </w:trPr>
        <w:tc>
          <w:tcPr>
            <w:tcW w:w="841" w:type="dxa"/>
            <w:vAlign w:val="center"/>
          </w:tcPr>
          <w:p w14:paraId="74020391">
            <w:pPr>
              <w:pStyle w:val="19"/>
              <w:adjustRightInd w:val="0"/>
              <w:snapToGrid w:val="0"/>
              <w:spacing w:before="0" w:beforeAutospacing="0" w:after="0" w:afterAutospacing="0"/>
              <w:jc w:val="center"/>
              <w:rPr>
                <w:rFonts w:hint="default" w:ascii="Times New Roman" w:hAnsi="Times New Roman" w:cs="Times New Roman"/>
                <w:color w:val="auto"/>
                <w:spacing w:val="0"/>
                <w:sz w:val="21"/>
                <w:szCs w:val="21"/>
                <w:highlight w:val="none"/>
              </w:rPr>
            </w:pPr>
            <w:r>
              <w:rPr>
                <w:rFonts w:hint="default" w:ascii="Times New Roman" w:hAnsi="Times New Roman" w:cs="Times New Roman"/>
                <w:color w:val="auto"/>
                <w:spacing w:val="0"/>
                <w:sz w:val="21"/>
                <w:szCs w:val="21"/>
                <w:highlight w:val="none"/>
              </w:rPr>
              <w:t>建设内容</w:t>
            </w:r>
          </w:p>
        </w:tc>
        <w:tc>
          <w:tcPr>
            <w:tcW w:w="8220" w:type="dxa"/>
          </w:tcPr>
          <w:p w14:paraId="10610A32">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color w:val="auto"/>
                <w:spacing w:val="0"/>
                <w:sz w:val="24"/>
                <w:szCs w:val="24"/>
                <w:highlight w:val="none"/>
                <w:lang w:val="en-US" w:eastAsia="zh-CN"/>
              </w:rPr>
            </w:pPr>
            <w:r>
              <w:rPr>
                <w:rFonts w:hint="eastAsia" w:ascii="Times New Roman" w:hAnsi="Times New Roman" w:eastAsia="宋体" w:cs="Times New Roman"/>
                <w:b/>
                <w:color w:val="auto"/>
                <w:spacing w:val="0"/>
                <w:sz w:val="24"/>
                <w:szCs w:val="24"/>
                <w:highlight w:val="none"/>
                <w:lang w:val="en-US" w:eastAsia="zh-CN"/>
              </w:rPr>
              <w:t>2.1 项目背景</w:t>
            </w:r>
          </w:p>
          <w:p w14:paraId="783029B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山西晋煤集团赵庄煤业有限责任公司</w:t>
            </w:r>
            <w:r>
              <w:rPr>
                <w:rFonts w:hint="eastAsia" w:cs="Times New Roman"/>
                <w:b w:val="0"/>
                <w:bCs/>
                <w:color w:val="auto"/>
                <w:spacing w:val="0"/>
                <w:sz w:val="24"/>
                <w:szCs w:val="24"/>
                <w:highlight w:val="none"/>
                <w:lang w:val="en-US" w:eastAsia="zh-CN"/>
              </w:rPr>
              <w:t>（以下简称“赵庄煤业”）</w:t>
            </w:r>
            <w:r>
              <w:rPr>
                <w:rFonts w:hint="eastAsia" w:ascii="Times New Roman" w:hAnsi="Times New Roman" w:eastAsia="宋体" w:cs="Times New Roman"/>
                <w:b w:val="0"/>
                <w:bCs/>
                <w:color w:val="auto"/>
                <w:spacing w:val="0"/>
                <w:sz w:val="24"/>
                <w:szCs w:val="24"/>
                <w:highlight w:val="none"/>
                <w:lang w:val="en-US" w:eastAsia="zh-CN"/>
              </w:rPr>
              <w:t>隶属于晋能控股装备制造集团有限公司，矿井于2002年10月1日开始建设，于2007年5月18日正式通过600万吨/年投产验收，属高瓦斯矿井。2013年6月，山西省发展和改革委员会以晋发改验收发〔2013〕6号《关于山西晋城无烟煤矿业集团有限责任公司赵庄矿井800万t/a产能释放项目竣工验收的批复》，同意赵庄煤业通过800万t/a产能释放竣工验收。矿井开拓方式为斜、立井混合开拓方式，井田范围内3号煤层采用单水平开拓，主采煤层为3号煤层。</w:t>
            </w:r>
          </w:p>
          <w:p w14:paraId="14D00445">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为提高赵庄矿井资源采出率和经济效益，延长矿井服务年限，实现矿井可持续发展，赵庄煤业实施15号煤配采工程。15号煤配采工程项目生产能力为2.00 Mt/a，设计可采储量为3379万吨，配采期间矿井生产能力保持8.00Mt/a，3号煤与15号煤配采比例为3:1，其中3号煤生产能力为6.00Mt/a，15号煤生产能力为2.00Mt/a，配采范围服务年限为12.1a。</w:t>
            </w:r>
          </w:p>
          <w:p w14:paraId="25E4C75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赵庄</w:t>
            </w:r>
            <w:r>
              <w:rPr>
                <w:rFonts w:hint="eastAsia" w:cs="Times New Roman"/>
                <w:b w:val="0"/>
                <w:bCs/>
                <w:color w:val="auto"/>
                <w:spacing w:val="0"/>
                <w:sz w:val="24"/>
                <w:szCs w:val="24"/>
                <w:highlight w:val="none"/>
                <w:lang w:val="en-US" w:eastAsia="zh-CN"/>
              </w:rPr>
              <w:t>煤业</w:t>
            </w:r>
            <w:r>
              <w:rPr>
                <w:rFonts w:hint="eastAsia" w:ascii="Times New Roman" w:hAnsi="Times New Roman" w:eastAsia="宋体" w:cs="Times New Roman"/>
                <w:b w:val="0"/>
                <w:bCs/>
                <w:color w:val="auto"/>
                <w:spacing w:val="0"/>
                <w:sz w:val="24"/>
                <w:szCs w:val="24"/>
                <w:highlight w:val="none"/>
                <w:lang w:val="en-US" w:eastAsia="zh-CN"/>
              </w:rPr>
              <w:t>矿井工业场地建有一座锅炉房，锅炉房内安装4台SZS14-1.25/115/70-Q型热水锅炉，燃用天然气，</w:t>
            </w:r>
            <w:r>
              <w:rPr>
                <w:rFonts w:hint="eastAsia" w:cs="Times New Roman"/>
                <w:b w:val="0"/>
                <w:bCs/>
                <w:color w:val="auto"/>
                <w:spacing w:val="0"/>
                <w:sz w:val="24"/>
                <w:szCs w:val="24"/>
                <w:highlight w:val="none"/>
                <w:lang w:val="en-US" w:eastAsia="zh-CN"/>
              </w:rPr>
              <w:t>采暖期</w:t>
            </w:r>
            <w:r>
              <w:rPr>
                <w:rFonts w:hint="eastAsia" w:ascii="Times New Roman" w:hAnsi="Times New Roman" w:eastAsia="宋体" w:cs="Times New Roman"/>
                <w:b w:val="0"/>
                <w:bCs/>
                <w:color w:val="auto"/>
                <w:spacing w:val="0"/>
                <w:sz w:val="24"/>
                <w:szCs w:val="24"/>
                <w:highlight w:val="none"/>
                <w:lang w:val="en-US" w:eastAsia="zh-CN"/>
              </w:rPr>
              <w:t>运行。非</w:t>
            </w:r>
            <w:r>
              <w:rPr>
                <w:rFonts w:hint="eastAsia" w:cs="Times New Roman"/>
                <w:b w:val="0"/>
                <w:bCs/>
                <w:color w:val="auto"/>
                <w:spacing w:val="0"/>
                <w:sz w:val="24"/>
                <w:szCs w:val="24"/>
                <w:highlight w:val="none"/>
                <w:lang w:val="en-US" w:eastAsia="zh-CN"/>
              </w:rPr>
              <w:t>采暖期原由长子县都宝电力开发有限公司（以下简称“都宝电厂”）余热系统、空压机余热系统、路西空气能系统</w:t>
            </w:r>
            <w:r>
              <w:rPr>
                <w:rFonts w:hint="eastAsia" w:ascii="Times New Roman" w:hAnsi="Times New Roman" w:eastAsia="宋体" w:cs="Times New Roman"/>
                <w:b w:val="0"/>
                <w:bCs/>
                <w:color w:val="auto"/>
                <w:spacing w:val="0"/>
                <w:sz w:val="24"/>
                <w:szCs w:val="24"/>
                <w:highlight w:val="none"/>
                <w:lang w:val="en-US" w:eastAsia="zh-CN"/>
              </w:rPr>
              <w:t>提供生活用热。</w:t>
            </w:r>
            <w:r>
              <w:rPr>
                <w:rFonts w:hint="eastAsia" w:cs="Times New Roman"/>
                <w:b w:val="0"/>
                <w:bCs/>
                <w:color w:val="auto"/>
                <w:spacing w:val="0"/>
                <w:sz w:val="24"/>
                <w:szCs w:val="24"/>
                <w:highlight w:val="none"/>
                <w:lang w:val="en-US" w:eastAsia="zh-CN"/>
              </w:rPr>
              <w:t>都宝电厂于2026年4月底停止运行，现影响旧联建澡堂浴池、新联建澡堂浴池、干部澡堂浴池和1-4号公寓楼淋浴热水供应。根据建设单位提供如开启现有1座</w:t>
            </w:r>
            <w:r>
              <w:rPr>
                <w:rFonts w:hint="eastAsia" w:ascii="Times New Roman" w:hAnsi="Times New Roman" w:eastAsia="宋体" w:cs="Times New Roman"/>
                <w:b w:val="0"/>
                <w:bCs/>
                <w:color w:val="auto"/>
                <w:spacing w:val="0"/>
                <w:sz w:val="24"/>
                <w:szCs w:val="24"/>
                <w:highlight w:val="none"/>
                <w:lang w:val="en-US" w:eastAsia="zh-CN"/>
              </w:rPr>
              <w:t>SZS14-1.25/115/70-Q型热水锅炉</w:t>
            </w:r>
            <w:r>
              <w:rPr>
                <w:rFonts w:hint="eastAsia" w:cs="Times New Roman"/>
                <w:b w:val="0"/>
                <w:bCs/>
                <w:color w:val="auto"/>
                <w:spacing w:val="0"/>
                <w:sz w:val="24"/>
                <w:szCs w:val="24"/>
                <w:highlight w:val="none"/>
                <w:lang w:val="en-US" w:eastAsia="zh-CN"/>
              </w:rPr>
              <w:t>为以上区域供热，极易造成锅炉频繁启停，锅炉运行燃气费用较高</w:t>
            </w:r>
            <w:r>
              <w:rPr>
                <w:rFonts w:hint="default" w:cs="Times New Roman"/>
                <w:b w:val="0"/>
                <w:bCs/>
                <w:color w:val="auto"/>
                <w:spacing w:val="0"/>
                <w:sz w:val="24"/>
                <w:szCs w:val="24"/>
                <w:highlight w:val="none"/>
                <w:lang w:val="en-US" w:eastAsia="zh-CN"/>
              </w:rPr>
              <w:t>。</w:t>
            </w:r>
            <w:r>
              <w:rPr>
                <w:rFonts w:hint="eastAsia" w:cs="Times New Roman"/>
                <w:b w:val="0"/>
                <w:bCs/>
                <w:color w:val="auto"/>
                <w:spacing w:val="0"/>
                <w:sz w:val="24"/>
                <w:szCs w:val="24"/>
                <w:highlight w:val="none"/>
                <w:lang w:val="en-US" w:eastAsia="zh-CN"/>
              </w:rPr>
              <w:t>为</w:t>
            </w:r>
            <w:r>
              <w:rPr>
                <w:rFonts w:hint="default" w:cs="Times New Roman"/>
                <w:b w:val="0"/>
                <w:bCs/>
                <w:color w:val="auto"/>
                <w:spacing w:val="0"/>
                <w:sz w:val="24"/>
                <w:szCs w:val="24"/>
                <w:highlight w:val="none"/>
                <w:lang w:val="en-US" w:eastAsia="zh-CN"/>
              </w:rPr>
              <w:t>解决澡堂浴池和1-4号公寓楼淋浴热水夏季供热问题</w:t>
            </w:r>
            <w:r>
              <w:rPr>
                <w:rFonts w:hint="eastAsia" w:cs="Times New Roman"/>
                <w:b w:val="0"/>
                <w:bCs/>
                <w:color w:val="auto"/>
                <w:spacing w:val="0"/>
                <w:sz w:val="24"/>
                <w:szCs w:val="24"/>
                <w:highlight w:val="none"/>
                <w:lang w:val="en-US" w:eastAsia="zh-CN"/>
              </w:rPr>
              <w:t>，同时考虑</w:t>
            </w:r>
            <w:r>
              <w:rPr>
                <w:rFonts w:hint="default" w:cs="Times New Roman"/>
                <w:b w:val="0"/>
                <w:bCs/>
                <w:color w:val="auto"/>
                <w:spacing w:val="0"/>
                <w:sz w:val="24"/>
                <w:szCs w:val="24"/>
                <w:highlight w:val="none"/>
                <w:lang w:val="en-US" w:eastAsia="zh-CN"/>
              </w:rPr>
              <w:t>一旦</w:t>
            </w:r>
            <w:r>
              <w:rPr>
                <w:rFonts w:hint="eastAsia" w:cs="Times New Roman"/>
                <w:b w:val="0"/>
                <w:bCs/>
                <w:color w:val="auto"/>
                <w:spacing w:val="0"/>
                <w:sz w:val="24"/>
                <w:szCs w:val="24"/>
                <w:highlight w:val="none"/>
                <w:lang w:val="en-US" w:eastAsia="zh-CN"/>
              </w:rPr>
              <w:t>空压机余热系统和路西空气能</w:t>
            </w:r>
            <w:r>
              <w:rPr>
                <w:rFonts w:hint="default" w:cs="Times New Roman"/>
                <w:b w:val="0"/>
                <w:bCs/>
                <w:color w:val="auto"/>
                <w:spacing w:val="0"/>
                <w:sz w:val="24"/>
                <w:szCs w:val="24"/>
                <w:highlight w:val="none"/>
                <w:lang w:val="en-US" w:eastAsia="zh-CN"/>
              </w:rPr>
              <w:t>系统出现问题，也可做为空压机余热及空气能余热</w:t>
            </w:r>
            <w:r>
              <w:rPr>
                <w:rFonts w:hint="eastAsia" w:cs="Times New Roman"/>
                <w:b w:val="0"/>
                <w:bCs/>
                <w:color w:val="auto"/>
                <w:spacing w:val="0"/>
                <w:sz w:val="24"/>
                <w:szCs w:val="24"/>
                <w:highlight w:val="none"/>
                <w:lang w:val="en-US" w:eastAsia="zh-CN"/>
              </w:rPr>
              <w:t>补充热源。</w:t>
            </w:r>
            <w:r>
              <w:rPr>
                <w:rFonts w:hint="eastAsia" w:ascii="Times New Roman" w:hAnsi="Times New Roman" w:eastAsia="宋体" w:cs="Times New Roman"/>
                <w:b w:val="0"/>
                <w:bCs/>
                <w:color w:val="auto"/>
                <w:spacing w:val="0"/>
                <w:sz w:val="24"/>
                <w:szCs w:val="24"/>
                <w:highlight w:val="none"/>
                <w:lang w:val="en-US" w:eastAsia="zh-CN"/>
              </w:rPr>
              <w:t>在此背景下，晋能控股装备制造集团有限公司于202</w:t>
            </w:r>
            <w:r>
              <w:rPr>
                <w:rFonts w:hint="eastAsia" w:cs="Times New Roman"/>
                <w:b w:val="0"/>
                <w:bCs/>
                <w:color w:val="auto"/>
                <w:spacing w:val="0"/>
                <w:sz w:val="24"/>
                <w:szCs w:val="24"/>
                <w:highlight w:val="none"/>
                <w:lang w:val="en-US" w:eastAsia="zh-CN"/>
              </w:rPr>
              <w:t>6</w:t>
            </w:r>
            <w:r>
              <w:rPr>
                <w:rFonts w:hint="eastAsia" w:ascii="Times New Roman" w:hAnsi="Times New Roman" w:eastAsia="宋体" w:cs="Times New Roman"/>
                <w:b w:val="0"/>
                <w:bCs/>
                <w:color w:val="auto"/>
                <w:spacing w:val="0"/>
                <w:sz w:val="24"/>
                <w:szCs w:val="24"/>
                <w:highlight w:val="none"/>
                <w:lang w:val="en-US" w:eastAsia="zh-CN"/>
              </w:rPr>
              <w:t>年</w:t>
            </w:r>
            <w:r>
              <w:rPr>
                <w:rFonts w:hint="eastAsia" w:cs="Times New Roman"/>
                <w:b w:val="0"/>
                <w:bCs/>
                <w:color w:val="auto"/>
                <w:spacing w:val="0"/>
                <w:sz w:val="24"/>
                <w:szCs w:val="24"/>
                <w:highlight w:val="none"/>
                <w:lang w:val="en-US" w:eastAsia="zh-CN"/>
              </w:rPr>
              <w:t>3</w:t>
            </w:r>
            <w:r>
              <w:rPr>
                <w:rFonts w:hint="eastAsia" w:ascii="Times New Roman" w:hAnsi="Times New Roman" w:eastAsia="宋体" w:cs="Times New Roman"/>
                <w:b w:val="0"/>
                <w:bCs/>
                <w:color w:val="auto"/>
                <w:spacing w:val="0"/>
                <w:sz w:val="24"/>
                <w:szCs w:val="24"/>
                <w:highlight w:val="none"/>
                <w:lang w:val="en-US" w:eastAsia="zh-CN"/>
              </w:rPr>
              <w:t>月下发</w:t>
            </w:r>
            <w:r>
              <w:rPr>
                <w:rFonts w:hint="eastAsia" w:cs="Times New Roman"/>
                <w:b w:val="0"/>
                <w:bCs/>
                <w:color w:val="auto"/>
                <w:spacing w:val="0"/>
                <w:sz w:val="24"/>
                <w:szCs w:val="24"/>
                <w:highlight w:val="none"/>
                <w:lang w:val="en-US" w:eastAsia="zh-CN"/>
              </w:rPr>
              <w:t>《关于下达2026年第一批建设项目专项资金投资计划的通知》（晋控装备计发字〔2026〕10号），建设项目中包含本项目（见附件2），山西晋煤集团赵庄煤业有限责任公司拟投资170万元新建1台3.5MW燃气热水锅炉，</w:t>
            </w:r>
            <w:r>
              <w:rPr>
                <w:rFonts w:hint="eastAsia" w:ascii="Times New Roman" w:hAnsi="Times New Roman" w:eastAsia="宋体" w:cs="Times New Roman"/>
                <w:b w:val="0"/>
                <w:bCs/>
                <w:color w:val="auto"/>
                <w:spacing w:val="0"/>
                <w:sz w:val="24"/>
                <w:szCs w:val="24"/>
                <w:highlight w:val="none"/>
                <w:lang w:val="en-US" w:eastAsia="zh-CN"/>
              </w:rPr>
              <w:t>型号：CWNS3.5-85/65-YQ。</w:t>
            </w:r>
          </w:p>
          <w:p w14:paraId="6A3E08C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根据《建设项目环境影响评价分类管理名录（2021年版）》，本项目属于名录中“四</w:t>
            </w:r>
            <w:r>
              <w:rPr>
                <w:rFonts w:hint="eastAsia" w:cs="Times New Roman"/>
                <w:bCs/>
                <w:color w:val="auto"/>
                <w:spacing w:val="0"/>
                <w:sz w:val="24"/>
                <w:szCs w:val="24"/>
                <w:highlight w:val="none"/>
                <w:lang w:val="en-US" w:eastAsia="zh-CN"/>
              </w:rPr>
              <w:t>十一</w:t>
            </w:r>
            <w:r>
              <w:rPr>
                <w:rFonts w:hint="default"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电力、热力生产和供应业—91、热力生产和供应工程—天然气锅炉总容量1吨/小时（0.7兆瓦）以上的</w:t>
            </w:r>
            <w:r>
              <w:rPr>
                <w:rFonts w:hint="default" w:ascii="Times New Roman" w:hAnsi="Times New Roman" w:eastAsia="宋体" w:cs="Times New Roman"/>
                <w:bCs/>
                <w:color w:val="auto"/>
                <w:spacing w:val="0"/>
                <w:sz w:val="24"/>
                <w:szCs w:val="24"/>
                <w:highlight w:val="none"/>
                <w:lang w:val="en-US" w:eastAsia="zh-CN"/>
              </w:rPr>
              <w:t>”，应当编制环境影响报告表。</w:t>
            </w:r>
          </w:p>
          <w:p w14:paraId="70E6C45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202</w:t>
            </w:r>
            <w:r>
              <w:rPr>
                <w:rFonts w:hint="eastAsia" w:cs="Times New Roman"/>
                <w:bCs/>
                <w:color w:val="auto"/>
                <w:spacing w:val="0"/>
                <w:sz w:val="24"/>
                <w:szCs w:val="24"/>
                <w:highlight w:val="none"/>
                <w:lang w:val="en-US" w:eastAsia="zh-CN"/>
              </w:rPr>
              <w:t>6</w:t>
            </w:r>
            <w:r>
              <w:rPr>
                <w:rFonts w:hint="default" w:ascii="Times New Roman" w:hAnsi="Times New Roman" w:eastAsia="宋体" w:cs="Times New Roman"/>
                <w:bCs/>
                <w:color w:val="auto"/>
                <w:spacing w:val="0"/>
                <w:sz w:val="24"/>
                <w:szCs w:val="24"/>
                <w:highlight w:val="none"/>
                <w:lang w:val="en-US" w:eastAsia="zh-CN"/>
              </w:rPr>
              <w:t>年</w:t>
            </w:r>
            <w:r>
              <w:rPr>
                <w:rFonts w:hint="eastAsia" w:cs="Times New Roman"/>
                <w:bCs/>
                <w:color w:val="auto"/>
                <w:spacing w:val="0"/>
                <w:sz w:val="24"/>
                <w:szCs w:val="24"/>
                <w:highlight w:val="none"/>
                <w:lang w:val="en-US" w:eastAsia="zh-CN"/>
              </w:rPr>
              <w:t>6</w:t>
            </w:r>
            <w:r>
              <w:rPr>
                <w:rFonts w:hint="default" w:ascii="Times New Roman" w:hAnsi="Times New Roman" w:eastAsia="宋体" w:cs="Times New Roman"/>
                <w:bCs/>
                <w:color w:val="auto"/>
                <w:spacing w:val="0"/>
                <w:sz w:val="24"/>
                <w:szCs w:val="24"/>
                <w:highlight w:val="none"/>
                <w:lang w:val="en-US" w:eastAsia="zh-CN"/>
              </w:rPr>
              <w:t>月，</w:t>
            </w:r>
            <w:r>
              <w:rPr>
                <w:rFonts w:hint="eastAsia" w:cs="Times New Roman"/>
                <w:bCs/>
                <w:color w:val="auto"/>
                <w:spacing w:val="0"/>
                <w:sz w:val="24"/>
                <w:szCs w:val="24"/>
                <w:highlight w:val="none"/>
                <w:lang w:val="en-US" w:eastAsia="zh-CN"/>
              </w:rPr>
              <w:t>山西晋煤集团赵庄煤业有限责任公司</w:t>
            </w:r>
            <w:r>
              <w:rPr>
                <w:rFonts w:hint="default" w:ascii="Times New Roman" w:hAnsi="Times New Roman" w:eastAsia="宋体" w:cs="Times New Roman"/>
                <w:bCs/>
                <w:color w:val="auto"/>
                <w:spacing w:val="0"/>
                <w:sz w:val="24"/>
                <w:szCs w:val="24"/>
                <w:highlight w:val="none"/>
                <w:lang w:val="en-US" w:eastAsia="zh-CN"/>
              </w:rPr>
              <w:t>委托我公司承担该项目的环境影响评价工作（见附件1）。在接受委托后，我公司收集了有关资料，对建设项目进行了现场踏勘，在</w:t>
            </w:r>
            <w:r>
              <w:rPr>
                <w:rFonts w:hint="eastAsia" w:ascii="Times New Roman" w:hAnsi="Times New Roman" w:eastAsia="宋体" w:cs="Times New Roman"/>
                <w:bCs/>
                <w:color w:val="auto"/>
                <w:spacing w:val="0"/>
                <w:sz w:val="24"/>
                <w:szCs w:val="24"/>
                <w:highlight w:val="none"/>
                <w:lang w:val="en-US" w:eastAsia="zh-CN"/>
              </w:rPr>
              <w:t>此</w:t>
            </w:r>
            <w:r>
              <w:rPr>
                <w:rFonts w:hint="default" w:ascii="Times New Roman" w:hAnsi="Times New Roman" w:eastAsia="宋体" w:cs="Times New Roman"/>
                <w:bCs/>
                <w:color w:val="auto"/>
                <w:spacing w:val="0"/>
                <w:sz w:val="24"/>
                <w:szCs w:val="24"/>
                <w:highlight w:val="none"/>
                <w:lang w:val="en-US" w:eastAsia="zh-CN"/>
              </w:rPr>
              <w:t>基础上编制完成了</w:t>
            </w:r>
            <w:r>
              <w:rPr>
                <w:rFonts w:hint="eastAsia"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山西晋煤集团赵庄煤业有限责任公司新建燃气锅炉项目</w:t>
            </w:r>
            <w:r>
              <w:rPr>
                <w:rFonts w:hint="default" w:ascii="Times New Roman" w:hAnsi="Times New Roman" w:eastAsia="宋体" w:cs="Times New Roman"/>
                <w:bCs/>
                <w:color w:val="auto"/>
                <w:spacing w:val="0"/>
                <w:sz w:val="24"/>
                <w:szCs w:val="24"/>
                <w:highlight w:val="none"/>
                <w:lang w:val="en-US" w:eastAsia="zh-CN"/>
              </w:rPr>
              <w:t>环境影响报告表</w:t>
            </w:r>
            <w:r>
              <w:rPr>
                <w:rFonts w:hint="eastAsia" w:ascii="Times New Roman" w:hAnsi="Times New Roman" w:eastAsia="宋体" w:cs="Times New Roman"/>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本次评价范围只针对新建1台3.5MW燃气热水锅炉，其余配套工程已另行评价。</w:t>
            </w:r>
          </w:p>
          <w:p w14:paraId="6503D589">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b/>
                <w:color w:val="auto"/>
                <w:spacing w:val="0"/>
                <w:sz w:val="24"/>
                <w:szCs w:val="24"/>
                <w:highlight w:val="none"/>
                <w:lang w:val="en-US" w:eastAsia="zh-CN"/>
              </w:rPr>
              <w:t>2.</w:t>
            </w:r>
            <w:r>
              <w:rPr>
                <w:rFonts w:hint="eastAsia" w:ascii="Times New Roman" w:hAnsi="Times New Roman" w:eastAsia="宋体" w:cs="Times New Roman"/>
                <w:b/>
                <w:color w:val="auto"/>
                <w:spacing w:val="0"/>
                <w:sz w:val="24"/>
                <w:szCs w:val="24"/>
                <w:highlight w:val="none"/>
                <w:lang w:val="en-US" w:eastAsia="zh-CN"/>
              </w:rPr>
              <w:t xml:space="preserve">2 </w:t>
            </w:r>
            <w:r>
              <w:rPr>
                <w:rFonts w:hint="default" w:ascii="Times New Roman" w:hAnsi="Times New Roman" w:eastAsia="宋体" w:cs="Times New Roman"/>
                <w:b/>
                <w:color w:val="auto"/>
                <w:spacing w:val="0"/>
                <w:sz w:val="24"/>
                <w:szCs w:val="24"/>
                <w:highlight w:val="none"/>
                <w:lang w:val="en-US" w:eastAsia="zh-CN"/>
              </w:rPr>
              <w:t>工程组成</w:t>
            </w:r>
          </w:p>
          <w:p w14:paraId="7534D786">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auto"/>
                <w:spacing w:val="0"/>
                <w:sz w:val="24"/>
                <w:szCs w:val="20"/>
                <w:highlight w:val="none"/>
                <w:lang w:val="en-US" w:eastAsia="zh-CN"/>
              </w:rPr>
            </w:pPr>
            <w:r>
              <w:rPr>
                <w:rFonts w:hint="eastAsia" w:cs="Times New Roman"/>
                <w:color w:val="auto"/>
                <w:spacing w:val="0"/>
                <w:sz w:val="24"/>
                <w:szCs w:val="20"/>
                <w:highlight w:val="none"/>
                <w:lang w:val="en-US" w:eastAsia="zh-CN"/>
              </w:rPr>
              <w:t>本次建设内容主要为：在现有工业场地锅炉房内，新建1台3.5MW燃气热水锅炉及配套设施，不涉及新增征地。</w:t>
            </w:r>
          </w:p>
          <w:p w14:paraId="4B86F2C0">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eastAsia="宋体" w:cs="Times New Roman"/>
                <w:color w:val="auto"/>
                <w:spacing w:val="0"/>
                <w:sz w:val="24"/>
                <w:szCs w:val="20"/>
                <w:highlight w:val="none"/>
                <w:lang w:val="en-US" w:eastAsia="zh-CN"/>
              </w:rPr>
              <w:t>项目组成</w:t>
            </w:r>
            <w:r>
              <w:rPr>
                <w:rFonts w:hint="default" w:ascii="Times New Roman" w:hAnsi="Times New Roman" w:eastAsia="宋体" w:cs="Times New Roman"/>
                <w:color w:val="auto"/>
                <w:spacing w:val="0"/>
                <w:sz w:val="24"/>
                <w:szCs w:val="20"/>
                <w:highlight w:val="none"/>
              </w:rPr>
              <w:t>内容见表</w:t>
            </w:r>
            <w:r>
              <w:rPr>
                <w:rFonts w:hint="eastAsia" w:cs="Times New Roman"/>
                <w:color w:val="auto"/>
                <w:spacing w:val="0"/>
                <w:sz w:val="24"/>
                <w:szCs w:val="20"/>
                <w:highlight w:val="none"/>
                <w:lang w:val="en-US" w:eastAsia="zh-CN"/>
              </w:rPr>
              <w:t>2.2</w:t>
            </w:r>
            <w:r>
              <w:rPr>
                <w:rFonts w:hint="default" w:ascii="Times New Roman" w:hAnsi="Times New Roman" w:eastAsia="宋体" w:cs="Times New Roman"/>
                <w:color w:val="auto"/>
                <w:spacing w:val="0"/>
                <w:sz w:val="24"/>
                <w:szCs w:val="20"/>
                <w:highlight w:val="none"/>
              </w:rPr>
              <w:t>-1。</w:t>
            </w:r>
          </w:p>
          <w:p w14:paraId="59973F30">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黑体" w:cs="Times New Roman"/>
                <w:iCs/>
                <w:snapToGrid w:val="0"/>
                <w:color w:val="auto"/>
                <w:spacing w:val="0"/>
                <w:kern w:val="0"/>
                <w:sz w:val="21"/>
                <w:szCs w:val="20"/>
                <w:highlight w:val="none"/>
                <w:lang w:val="en-US" w:eastAsia="zh-CN" w:bidi="ar-SA"/>
              </w:rPr>
              <w:t>表</w:t>
            </w:r>
            <w:r>
              <w:rPr>
                <w:rFonts w:hint="eastAsia" w:ascii="Times New Roman" w:hAnsi="Times New Roman" w:eastAsia="黑体" w:cs="Times New Roman"/>
                <w:iCs/>
                <w:snapToGrid w:val="0"/>
                <w:color w:val="auto"/>
                <w:spacing w:val="0"/>
                <w:kern w:val="0"/>
                <w:sz w:val="21"/>
                <w:szCs w:val="20"/>
                <w:highlight w:val="none"/>
                <w:lang w:val="en-US" w:eastAsia="zh-CN" w:bidi="ar-SA"/>
              </w:rPr>
              <w:t>2</w:t>
            </w:r>
            <w:r>
              <w:rPr>
                <w:rFonts w:hint="eastAsia" w:eastAsia="黑体" w:cs="Times New Roman"/>
                <w:iCs/>
                <w:snapToGrid w:val="0"/>
                <w:color w:val="auto"/>
                <w:spacing w:val="0"/>
                <w:kern w:val="0"/>
                <w:sz w:val="21"/>
                <w:szCs w:val="20"/>
                <w:highlight w:val="none"/>
                <w:lang w:val="en-US" w:eastAsia="zh-CN" w:bidi="ar-SA"/>
              </w:rPr>
              <w:t>.2</w:t>
            </w:r>
            <w:r>
              <w:rPr>
                <w:rFonts w:hint="default" w:ascii="Times New Roman" w:hAnsi="Times New Roman" w:eastAsia="黑体" w:cs="Times New Roman"/>
                <w:iCs/>
                <w:snapToGrid w:val="0"/>
                <w:color w:val="auto"/>
                <w:spacing w:val="0"/>
                <w:kern w:val="0"/>
                <w:sz w:val="21"/>
                <w:szCs w:val="20"/>
                <w:highlight w:val="none"/>
                <w:lang w:val="en-US" w:eastAsia="zh-CN" w:bidi="ar-SA"/>
              </w:rPr>
              <w:t>-1  工程主要建设内容一览表</w:t>
            </w:r>
          </w:p>
          <w:tbl>
            <w:tblPr>
              <w:tblStyle w:val="24"/>
              <w:tblW w:w="7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517"/>
              <w:gridCol w:w="4869"/>
              <w:gridCol w:w="859"/>
            </w:tblGrid>
            <w:tr w14:paraId="4983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2251" w:type="dxa"/>
                  <w:gridSpan w:val="2"/>
                  <w:tcBorders>
                    <w:tl2br w:val="nil"/>
                    <w:tr2bl w:val="nil"/>
                  </w:tcBorders>
                  <w:noWrap w:val="0"/>
                  <w:vAlign w:val="center"/>
                </w:tcPr>
                <w:p w14:paraId="2EE0C9D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w:t>
                  </w:r>
                </w:p>
              </w:tc>
              <w:tc>
                <w:tcPr>
                  <w:tcW w:w="4869" w:type="dxa"/>
                  <w:tcBorders>
                    <w:tl2br w:val="nil"/>
                    <w:tr2bl w:val="nil"/>
                  </w:tcBorders>
                  <w:noWrap w:val="0"/>
                  <w:vAlign w:val="center"/>
                </w:tcPr>
                <w:p w14:paraId="0B9516F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工程建设内容</w:t>
                  </w:r>
                </w:p>
              </w:tc>
              <w:tc>
                <w:tcPr>
                  <w:tcW w:w="859" w:type="dxa"/>
                  <w:tcBorders>
                    <w:tl2br w:val="nil"/>
                    <w:tr2bl w:val="nil"/>
                  </w:tcBorders>
                  <w:noWrap w:val="0"/>
                  <w:vAlign w:val="center"/>
                </w:tcPr>
                <w:p w14:paraId="315F242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备注</w:t>
                  </w:r>
                </w:p>
              </w:tc>
            </w:tr>
            <w:tr w14:paraId="4376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734" w:type="dxa"/>
                  <w:tcBorders>
                    <w:tl2br w:val="nil"/>
                    <w:tr2bl w:val="nil"/>
                  </w:tcBorders>
                  <w:noWrap w:val="0"/>
                  <w:vAlign w:val="center"/>
                </w:tcPr>
                <w:p w14:paraId="6D13150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主体</w:t>
                  </w:r>
                </w:p>
                <w:p w14:paraId="3AC28B0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1517" w:type="dxa"/>
                  <w:tcBorders>
                    <w:tl2br w:val="nil"/>
                    <w:tr2bl w:val="nil"/>
                  </w:tcBorders>
                  <w:noWrap w:val="0"/>
                  <w:vAlign w:val="center"/>
                </w:tcPr>
                <w:p w14:paraId="684EE4A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锅炉</w:t>
                  </w:r>
                </w:p>
              </w:tc>
              <w:tc>
                <w:tcPr>
                  <w:tcW w:w="4869" w:type="dxa"/>
                  <w:tcBorders>
                    <w:tl2br w:val="nil"/>
                    <w:tr2bl w:val="nil"/>
                  </w:tcBorders>
                  <w:noWrap w:val="0"/>
                  <w:vAlign w:val="center"/>
                </w:tcPr>
                <w:p w14:paraId="39C9D60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kern w:val="0"/>
                      <w:sz w:val="21"/>
                      <w:szCs w:val="21"/>
                      <w:lang w:val="en-US" w:eastAsia="zh-CN"/>
                    </w:rPr>
                    <w:t>利用现有锅炉房东侧位置，占地面积96m</w:t>
                  </w:r>
                  <w:r>
                    <w:rPr>
                      <w:rFonts w:hint="eastAsia" w:ascii="Times New Roman" w:hAnsi="Times New Roman" w:cs="Times New Roman"/>
                      <w:color w:val="auto"/>
                      <w:kern w:val="0"/>
                      <w:sz w:val="21"/>
                      <w:szCs w:val="21"/>
                      <w:vertAlign w:val="superscript"/>
                      <w:lang w:val="en-US" w:eastAsia="zh-CN"/>
                    </w:rPr>
                    <w:t>2</w:t>
                  </w:r>
                  <w:r>
                    <w:rPr>
                      <w:rFonts w:hint="eastAsia" w:ascii="Times New Roman" w:hAnsi="Times New Roman" w:cs="Times New Roman"/>
                      <w:color w:val="auto"/>
                      <w:kern w:val="0"/>
                      <w:sz w:val="21"/>
                      <w:szCs w:val="21"/>
                      <w:lang w:val="en-US" w:eastAsia="zh-CN"/>
                    </w:rPr>
                    <w:t>，砖混结构，新建1台3.5MW燃气热水锅炉及燃烧器、循环泵、补水泵、锅炉控制柜、辅机控制柜等设施</w:t>
                  </w:r>
                </w:p>
              </w:tc>
              <w:tc>
                <w:tcPr>
                  <w:tcW w:w="859" w:type="dxa"/>
                  <w:tcBorders>
                    <w:tl2br w:val="nil"/>
                    <w:tr2bl w:val="nil"/>
                  </w:tcBorders>
                  <w:noWrap w:val="0"/>
                  <w:vAlign w:val="center"/>
                </w:tcPr>
                <w:p w14:paraId="13658B9F">
                  <w:pPr>
                    <w:pStyle w:val="48"/>
                    <w:bidi w:val="0"/>
                    <w:ind w:left="0" w:leftChars="0" w:firstLine="0" w:firstLineChars="0"/>
                    <w:jc w:val="center"/>
                    <w:rPr>
                      <w:rFonts w:hint="default"/>
                      <w:color w:val="auto"/>
                      <w:lang w:val="en-US" w:eastAsia="zh-CN"/>
                    </w:rPr>
                  </w:pPr>
                  <w:r>
                    <w:rPr>
                      <w:rFonts w:hint="default"/>
                      <w:color w:val="auto"/>
                      <w:lang w:val="en-US" w:eastAsia="zh-CN"/>
                    </w:rPr>
                    <w:t>新建</w:t>
                  </w:r>
                </w:p>
                <w:p w14:paraId="12E480FA">
                  <w:pPr>
                    <w:pStyle w:val="48"/>
                    <w:bidi w:val="0"/>
                    <w:ind w:left="0" w:leftChars="0" w:firstLine="0" w:firstLineChars="0"/>
                    <w:jc w:val="center"/>
                    <w:rPr>
                      <w:rFonts w:hint="default"/>
                      <w:color w:val="auto"/>
                      <w:lang w:val="en-US" w:eastAsia="zh-CN"/>
                    </w:rPr>
                  </w:pPr>
                  <w:r>
                    <w:rPr>
                      <w:rFonts w:hint="default"/>
                      <w:color w:val="auto"/>
                      <w:lang w:val="en-US" w:eastAsia="zh-CN"/>
                    </w:rPr>
                    <w:t>锅炉</w:t>
                  </w:r>
                </w:p>
              </w:tc>
            </w:tr>
            <w:tr w14:paraId="264F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4" w:type="dxa"/>
                  <w:tcBorders>
                    <w:tl2br w:val="nil"/>
                    <w:tr2bl w:val="nil"/>
                  </w:tcBorders>
                  <w:noWrap w:val="0"/>
                  <w:vAlign w:val="center"/>
                </w:tcPr>
                <w:p w14:paraId="6319D05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辅助</w:t>
                  </w:r>
                </w:p>
                <w:p w14:paraId="0649844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1517" w:type="dxa"/>
                  <w:tcBorders>
                    <w:tl2br w:val="nil"/>
                    <w:tr2bl w:val="nil"/>
                  </w:tcBorders>
                  <w:noWrap w:val="0"/>
                  <w:vAlign w:val="center"/>
                </w:tcPr>
                <w:p w14:paraId="5B0FB17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软水制备系统</w:t>
                  </w:r>
                </w:p>
              </w:tc>
              <w:tc>
                <w:tcPr>
                  <w:tcW w:w="4869" w:type="dxa"/>
                  <w:tcBorders>
                    <w:tl2br w:val="nil"/>
                    <w:tr2bl w:val="nil"/>
                  </w:tcBorders>
                  <w:noWrap w:val="0"/>
                  <w:vAlign w:val="center"/>
                </w:tcPr>
                <w:p w14:paraId="40B0CBD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依托现有工程4套20m</w:t>
                  </w:r>
                  <w:r>
                    <w:rPr>
                      <w:rFonts w:hint="eastAsia" w:cs="Times New Roman"/>
                      <w:color w:val="auto"/>
                      <w:kern w:val="0"/>
                      <w:sz w:val="21"/>
                      <w:szCs w:val="21"/>
                      <w:vertAlign w:val="superscript"/>
                      <w:lang w:val="en-US" w:eastAsia="zh-CN"/>
                    </w:rPr>
                    <w:t>3</w:t>
                  </w:r>
                  <w:r>
                    <w:rPr>
                      <w:rFonts w:hint="eastAsia" w:cs="Times New Roman"/>
                      <w:color w:val="auto"/>
                      <w:kern w:val="0"/>
                      <w:sz w:val="21"/>
                      <w:szCs w:val="21"/>
                      <w:lang w:val="en-US" w:eastAsia="zh-CN"/>
                    </w:rPr>
                    <w:t>/h软化水制备系统（2用2备）供给</w:t>
                  </w:r>
                </w:p>
              </w:tc>
              <w:tc>
                <w:tcPr>
                  <w:tcW w:w="859" w:type="dxa"/>
                  <w:tcBorders>
                    <w:tl2br w:val="nil"/>
                    <w:tr2bl w:val="nil"/>
                  </w:tcBorders>
                  <w:noWrap w:val="0"/>
                  <w:vAlign w:val="center"/>
                </w:tcPr>
                <w:p w14:paraId="5934B90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pacing w:val="-6"/>
                      <w:sz w:val="21"/>
                      <w:szCs w:val="21"/>
                      <w:lang w:val="en-US" w:eastAsia="zh-CN"/>
                    </w:rPr>
                  </w:pPr>
                  <w:r>
                    <w:rPr>
                      <w:rFonts w:hint="eastAsia" w:cs="Times New Roman"/>
                      <w:color w:val="auto"/>
                      <w:spacing w:val="-6"/>
                      <w:sz w:val="21"/>
                      <w:szCs w:val="21"/>
                      <w:lang w:val="en-US" w:eastAsia="zh-CN"/>
                    </w:rPr>
                    <w:t>依托</w:t>
                  </w:r>
                </w:p>
              </w:tc>
            </w:tr>
            <w:tr w14:paraId="1248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34" w:type="dxa"/>
                  <w:vMerge w:val="restart"/>
                  <w:tcBorders>
                    <w:tl2br w:val="nil"/>
                    <w:tr2bl w:val="nil"/>
                  </w:tcBorders>
                  <w:noWrap w:val="0"/>
                  <w:vAlign w:val="center"/>
                </w:tcPr>
                <w:p w14:paraId="6295506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公用</w:t>
                  </w:r>
                </w:p>
                <w:p w14:paraId="701EE2A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1517" w:type="dxa"/>
                  <w:tcBorders>
                    <w:tl2br w:val="nil"/>
                    <w:tr2bl w:val="nil"/>
                  </w:tcBorders>
                  <w:noWrap w:val="0"/>
                  <w:vAlign w:val="center"/>
                </w:tcPr>
                <w:p w14:paraId="489C276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供水</w:t>
                  </w:r>
                </w:p>
              </w:tc>
              <w:tc>
                <w:tcPr>
                  <w:tcW w:w="4869" w:type="dxa"/>
                  <w:tcBorders>
                    <w:tl2br w:val="nil"/>
                    <w:tr2bl w:val="nil"/>
                  </w:tcBorders>
                  <w:noWrap w:val="0"/>
                  <w:vAlign w:val="center"/>
                </w:tcPr>
                <w:p w14:paraId="0E998A1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水源来自现有工程矿井水处理站处理后的矿井水</w:t>
                  </w:r>
                </w:p>
              </w:tc>
              <w:tc>
                <w:tcPr>
                  <w:tcW w:w="859" w:type="dxa"/>
                  <w:tcBorders>
                    <w:tl2br w:val="nil"/>
                    <w:tr2bl w:val="nil"/>
                  </w:tcBorders>
                  <w:noWrap w:val="0"/>
                  <w:vAlign w:val="center"/>
                </w:tcPr>
                <w:p w14:paraId="7ABC3ED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pacing w:val="-6"/>
                      <w:sz w:val="21"/>
                      <w:szCs w:val="21"/>
                      <w:lang w:val="en-US" w:eastAsia="zh-CN"/>
                    </w:rPr>
                  </w:pPr>
                  <w:r>
                    <w:rPr>
                      <w:rFonts w:hint="eastAsia" w:cs="Times New Roman"/>
                      <w:color w:val="auto"/>
                      <w:spacing w:val="-6"/>
                      <w:sz w:val="21"/>
                      <w:szCs w:val="21"/>
                      <w:lang w:val="en-US" w:eastAsia="zh-CN"/>
                    </w:rPr>
                    <w:t>依托</w:t>
                  </w:r>
                </w:p>
              </w:tc>
            </w:tr>
            <w:tr w14:paraId="4BE01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734" w:type="dxa"/>
                  <w:vMerge w:val="continue"/>
                  <w:tcBorders>
                    <w:tl2br w:val="nil"/>
                    <w:tr2bl w:val="nil"/>
                  </w:tcBorders>
                  <w:noWrap w:val="0"/>
                  <w:vAlign w:val="center"/>
                </w:tcPr>
                <w:p w14:paraId="5CEBD12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tcBorders>
                    <w:tl2br w:val="nil"/>
                    <w:tr2bl w:val="nil"/>
                  </w:tcBorders>
                  <w:shd w:val="clear" w:color="auto" w:fill="auto"/>
                  <w:noWrap w:val="0"/>
                  <w:vAlign w:val="center"/>
                </w:tcPr>
                <w:p w14:paraId="0CD0275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供电</w:t>
                  </w:r>
                </w:p>
              </w:tc>
              <w:tc>
                <w:tcPr>
                  <w:tcW w:w="4869" w:type="dxa"/>
                  <w:tcBorders>
                    <w:tl2br w:val="nil"/>
                    <w:tr2bl w:val="nil"/>
                  </w:tcBorders>
                  <w:shd w:val="clear" w:color="auto" w:fill="auto"/>
                  <w:noWrap w:val="0"/>
                  <w:vAlign w:val="center"/>
                </w:tcPr>
                <w:p w14:paraId="7B13F3C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依托煤矿工业场地现有供电系统</w:t>
                  </w:r>
                </w:p>
              </w:tc>
              <w:tc>
                <w:tcPr>
                  <w:tcW w:w="859" w:type="dxa"/>
                  <w:tcBorders>
                    <w:tl2br w:val="nil"/>
                    <w:tr2bl w:val="nil"/>
                  </w:tcBorders>
                  <w:noWrap w:val="0"/>
                  <w:vAlign w:val="center"/>
                </w:tcPr>
                <w:p w14:paraId="29C73FB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cs="Times New Roman"/>
                      <w:color w:val="auto"/>
                      <w:spacing w:val="-6"/>
                      <w:sz w:val="21"/>
                      <w:szCs w:val="21"/>
                      <w:lang w:val="en-US" w:eastAsia="zh-CN"/>
                    </w:rPr>
                  </w:pPr>
                  <w:r>
                    <w:rPr>
                      <w:rFonts w:hint="eastAsia" w:cs="Times New Roman"/>
                      <w:color w:val="auto"/>
                      <w:spacing w:val="-6"/>
                      <w:sz w:val="21"/>
                      <w:szCs w:val="21"/>
                      <w:lang w:val="en-US" w:eastAsia="zh-CN"/>
                    </w:rPr>
                    <w:t>依托</w:t>
                  </w:r>
                </w:p>
              </w:tc>
            </w:tr>
            <w:tr w14:paraId="67B6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734" w:type="dxa"/>
                  <w:vMerge w:val="continue"/>
                  <w:tcBorders>
                    <w:tl2br w:val="nil"/>
                    <w:tr2bl w:val="nil"/>
                  </w:tcBorders>
                  <w:noWrap w:val="0"/>
                  <w:vAlign w:val="center"/>
                </w:tcPr>
                <w:p w14:paraId="224FE9A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tcBorders>
                    <w:tl2br w:val="nil"/>
                    <w:tr2bl w:val="nil"/>
                  </w:tcBorders>
                  <w:noWrap w:val="0"/>
                  <w:vAlign w:val="center"/>
                </w:tcPr>
                <w:p w14:paraId="1943963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供气</w:t>
                  </w:r>
                </w:p>
              </w:tc>
              <w:tc>
                <w:tcPr>
                  <w:tcW w:w="4869" w:type="dxa"/>
                  <w:tcBorders>
                    <w:tl2br w:val="nil"/>
                    <w:tr2bl w:val="nil"/>
                  </w:tcBorders>
                  <w:noWrap w:val="0"/>
                  <w:vAlign w:val="center"/>
                </w:tcPr>
                <w:p w14:paraId="657C4E6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依托锅炉房现有供气管线，燃气由长子县丹源燃气有限公司提供</w:t>
                  </w:r>
                </w:p>
              </w:tc>
              <w:tc>
                <w:tcPr>
                  <w:tcW w:w="859" w:type="dxa"/>
                  <w:tcBorders>
                    <w:tl2br w:val="nil"/>
                    <w:tr2bl w:val="nil"/>
                  </w:tcBorders>
                  <w:noWrap w:val="0"/>
                  <w:vAlign w:val="center"/>
                </w:tcPr>
                <w:p w14:paraId="0A8C691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pacing w:val="-6"/>
                      <w:sz w:val="21"/>
                      <w:szCs w:val="21"/>
                      <w:lang w:eastAsia="zh-CN"/>
                    </w:rPr>
                  </w:pPr>
                  <w:r>
                    <w:rPr>
                      <w:rFonts w:hint="eastAsia" w:cs="Times New Roman"/>
                      <w:color w:val="auto"/>
                      <w:spacing w:val="-6"/>
                      <w:sz w:val="21"/>
                      <w:szCs w:val="21"/>
                      <w:lang w:val="en-US" w:eastAsia="zh-CN"/>
                    </w:rPr>
                    <w:t>依托</w:t>
                  </w:r>
                </w:p>
              </w:tc>
            </w:tr>
            <w:tr w14:paraId="2A92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734" w:type="dxa"/>
                  <w:vMerge w:val="restart"/>
                  <w:tcBorders>
                    <w:tl2br w:val="nil"/>
                    <w:tr2bl w:val="nil"/>
                  </w:tcBorders>
                  <w:noWrap w:val="0"/>
                  <w:vAlign w:val="center"/>
                </w:tcPr>
                <w:p w14:paraId="54BD6E7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环保工程</w:t>
                  </w:r>
                </w:p>
              </w:tc>
              <w:tc>
                <w:tcPr>
                  <w:tcW w:w="1517" w:type="dxa"/>
                  <w:tcBorders>
                    <w:tl2br w:val="nil"/>
                    <w:tr2bl w:val="nil"/>
                  </w:tcBorders>
                  <w:noWrap w:val="0"/>
                  <w:vAlign w:val="center"/>
                </w:tcPr>
                <w:p w14:paraId="2085D63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废气</w:t>
                  </w:r>
                </w:p>
              </w:tc>
              <w:tc>
                <w:tcPr>
                  <w:tcW w:w="4869" w:type="dxa"/>
                  <w:tcBorders>
                    <w:tl2br w:val="nil"/>
                    <w:tr2bl w:val="nil"/>
                  </w:tcBorders>
                  <w:shd w:val="clear" w:color="auto" w:fill="auto"/>
                  <w:noWrap w:val="0"/>
                  <w:vAlign w:val="center"/>
                </w:tcPr>
                <w:p w14:paraId="1116830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本项目锅炉采用低氮燃烧+烟气再循环技术，废气经1根22m高排气筒排放</w:t>
                  </w:r>
                </w:p>
              </w:tc>
              <w:tc>
                <w:tcPr>
                  <w:tcW w:w="859" w:type="dxa"/>
                  <w:tcBorders>
                    <w:tl2br w:val="nil"/>
                    <w:tr2bl w:val="nil"/>
                  </w:tcBorders>
                  <w:shd w:val="clear" w:color="auto" w:fill="auto"/>
                  <w:noWrap w:val="0"/>
                  <w:vAlign w:val="center"/>
                </w:tcPr>
                <w:p w14:paraId="0A97B50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pacing w:val="-6"/>
                      <w:kern w:val="2"/>
                      <w:sz w:val="21"/>
                      <w:szCs w:val="21"/>
                      <w:lang w:val="en-US" w:eastAsia="zh-CN" w:bidi="ar-SA"/>
                    </w:rPr>
                  </w:pPr>
                  <w:r>
                    <w:rPr>
                      <w:rFonts w:hint="eastAsia" w:cs="Times New Roman"/>
                      <w:color w:val="auto"/>
                      <w:spacing w:val="-6"/>
                      <w:kern w:val="2"/>
                      <w:sz w:val="21"/>
                      <w:szCs w:val="21"/>
                      <w:lang w:val="en-US" w:eastAsia="zh-CN" w:bidi="ar-SA"/>
                    </w:rPr>
                    <w:t>新建</w:t>
                  </w:r>
                </w:p>
              </w:tc>
            </w:tr>
            <w:tr w14:paraId="0C54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734" w:type="dxa"/>
                  <w:vMerge w:val="continue"/>
                  <w:tcBorders>
                    <w:tl2br w:val="nil"/>
                    <w:tr2bl w:val="nil"/>
                  </w:tcBorders>
                  <w:noWrap w:val="0"/>
                  <w:vAlign w:val="center"/>
                </w:tcPr>
                <w:p w14:paraId="405D6C4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tcBorders>
                    <w:tl2br w:val="nil"/>
                    <w:tr2bl w:val="nil"/>
                  </w:tcBorders>
                  <w:noWrap w:val="0"/>
                  <w:vAlign w:val="center"/>
                </w:tcPr>
                <w:p w14:paraId="68209D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rPr>
                    <w:t>废水</w:t>
                  </w:r>
                </w:p>
              </w:tc>
              <w:tc>
                <w:tcPr>
                  <w:tcW w:w="4869" w:type="dxa"/>
                  <w:tcBorders>
                    <w:tl2br w:val="nil"/>
                    <w:tr2bl w:val="nil"/>
                  </w:tcBorders>
                  <w:shd w:val="clear" w:color="auto" w:fill="auto"/>
                  <w:noWrap w:val="0"/>
                  <w:vAlign w:val="center"/>
                </w:tcPr>
                <w:p w14:paraId="0D9AA9A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主要为锅炉排污水和软化水系统排水，经现有污水管道收集进入现有矿井水处理站进行处理后，优先回用</w:t>
                  </w:r>
                </w:p>
              </w:tc>
              <w:tc>
                <w:tcPr>
                  <w:tcW w:w="859" w:type="dxa"/>
                  <w:tcBorders>
                    <w:tl2br w:val="nil"/>
                    <w:tr2bl w:val="nil"/>
                  </w:tcBorders>
                  <w:noWrap w:val="0"/>
                  <w:vAlign w:val="center"/>
                </w:tcPr>
                <w:p w14:paraId="43FB70F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spacing w:val="-6"/>
                      <w:sz w:val="21"/>
                      <w:szCs w:val="21"/>
                      <w:highlight w:val="none"/>
                      <w:lang w:val="en-US" w:eastAsia="zh-CN"/>
                    </w:rPr>
                  </w:pPr>
                  <w:r>
                    <w:rPr>
                      <w:rFonts w:hint="eastAsia" w:cs="Times New Roman"/>
                      <w:color w:val="auto"/>
                      <w:spacing w:val="-6"/>
                      <w:sz w:val="21"/>
                      <w:szCs w:val="21"/>
                      <w:highlight w:val="none"/>
                      <w:lang w:val="en-US" w:eastAsia="zh-CN"/>
                    </w:rPr>
                    <w:t>依托</w:t>
                  </w:r>
                </w:p>
              </w:tc>
            </w:tr>
            <w:tr w14:paraId="5519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4" w:type="dxa"/>
                  <w:vMerge w:val="continue"/>
                  <w:tcBorders>
                    <w:tl2br w:val="nil"/>
                    <w:tr2bl w:val="nil"/>
                  </w:tcBorders>
                  <w:noWrap w:val="0"/>
                  <w:vAlign w:val="center"/>
                </w:tcPr>
                <w:p w14:paraId="3020AB6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tcBorders>
                    <w:tl2br w:val="nil"/>
                    <w:tr2bl w:val="nil"/>
                  </w:tcBorders>
                  <w:noWrap w:val="0"/>
                  <w:vAlign w:val="center"/>
                </w:tcPr>
                <w:p w14:paraId="402E66A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w:t>
                  </w:r>
                </w:p>
              </w:tc>
              <w:tc>
                <w:tcPr>
                  <w:tcW w:w="4869" w:type="dxa"/>
                  <w:tcBorders>
                    <w:tl2br w:val="nil"/>
                    <w:tr2bl w:val="nil"/>
                  </w:tcBorders>
                  <w:noWrap w:val="0"/>
                  <w:vAlign w:val="center"/>
                </w:tcPr>
                <w:p w14:paraId="6FB0553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z w:val="21"/>
                      <w:szCs w:val="21"/>
                      <w:highlight w:val="yellow"/>
                      <w:lang w:eastAsia="zh-CN"/>
                    </w:rPr>
                  </w:pPr>
                  <w:r>
                    <w:rPr>
                      <w:rFonts w:hint="eastAsia" w:ascii="Times New Roman" w:hAnsi="Times New Roman" w:cs="Times New Roman"/>
                      <w:color w:val="auto"/>
                      <w:sz w:val="21"/>
                      <w:szCs w:val="21"/>
                      <w:lang w:val="en-US" w:eastAsia="zh-CN"/>
                    </w:rPr>
                    <w:t>低噪声设备；</w:t>
                  </w:r>
                  <w:r>
                    <w:rPr>
                      <w:rFonts w:hint="default" w:ascii="Times New Roman" w:hAnsi="Times New Roman" w:cs="Times New Roman"/>
                      <w:color w:val="auto"/>
                      <w:sz w:val="21"/>
                      <w:szCs w:val="21"/>
                    </w:rPr>
                    <w:t>减振、厂房隔声</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定期维修、检修</w:t>
                  </w:r>
                </w:p>
              </w:tc>
              <w:tc>
                <w:tcPr>
                  <w:tcW w:w="859" w:type="dxa"/>
                  <w:tcBorders>
                    <w:tl2br w:val="nil"/>
                    <w:tr2bl w:val="nil"/>
                  </w:tcBorders>
                  <w:noWrap w:val="0"/>
                  <w:vAlign w:val="center"/>
                </w:tcPr>
                <w:p w14:paraId="6C5F601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pacing w:val="-6"/>
                      <w:sz w:val="21"/>
                      <w:szCs w:val="21"/>
                    </w:rPr>
                  </w:pPr>
                  <w:r>
                    <w:rPr>
                      <w:rFonts w:hint="eastAsia" w:ascii="Times New Roman" w:hAnsi="Times New Roman" w:cs="Times New Roman"/>
                      <w:color w:val="auto"/>
                      <w:spacing w:val="-6"/>
                      <w:sz w:val="21"/>
                      <w:szCs w:val="21"/>
                      <w:lang w:val="en-US" w:eastAsia="zh-CN"/>
                    </w:rPr>
                    <w:t xml:space="preserve">新建 </w:t>
                  </w:r>
                </w:p>
              </w:tc>
            </w:tr>
            <w:tr w14:paraId="7AA7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734" w:type="dxa"/>
                  <w:vMerge w:val="continue"/>
                  <w:tcBorders>
                    <w:tl2br w:val="nil"/>
                    <w:tr2bl w:val="nil"/>
                  </w:tcBorders>
                  <w:noWrap w:val="0"/>
                  <w:vAlign w:val="center"/>
                </w:tcPr>
                <w:p w14:paraId="2A2B8B0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517" w:type="dxa"/>
                  <w:tcBorders>
                    <w:tl2br w:val="nil"/>
                    <w:tr2bl w:val="nil"/>
                  </w:tcBorders>
                  <w:noWrap w:val="0"/>
                  <w:vAlign w:val="center"/>
                </w:tcPr>
                <w:p w14:paraId="340B2E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固废</w:t>
                  </w:r>
                </w:p>
              </w:tc>
              <w:tc>
                <w:tcPr>
                  <w:tcW w:w="4869" w:type="dxa"/>
                  <w:tcBorders>
                    <w:tl2br w:val="nil"/>
                    <w:tr2bl w:val="nil"/>
                  </w:tcBorders>
                  <w:noWrap w:val="0"/>
                  <w:vAlign w:val="center"/>
                </w:tcPr>
                <w:p w14:paraId="0586E98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软化水制备设备产生的废离子交换树脂，由厂家定期更换后回收</w:t>
                  </w:r>
                </w:p>
              </w:tc>
              <w:tc>
                <w:tcPr>
                  <w:tcW w:w="859" w:type="dxa"/>
                  <w:tcBorders>
                    <w:tl2br w:val="nil"/>
                    <w:tr2bl w:val="nil"/>
                  </w:tcBorders>
                  <w:noWrap w:val="0"/>
                  <w:vAlign w:val="center"/>
                </w:tcPr>
                <w:p w14:paraId="497652C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pacing w:val="-6"/>
                      <w:sz w:val="21"/>
                      <w:szCs w:val="21"/>
                      <w:lang w:val="en-US" w:eastAsia="zh-CN"/>
                    </w:rPr>
                  </w:pPr>
                  <w:r>
                    <w:rPr>
                      <w:rFonts w:hint="eastAsia" w:cs="Times New Roman"/>
                      <w:color w:val="auto"/>
                      <w:spacing w:val="-6"/>
                      <w:sz w:val="21"/>
                      <w:szCs w:val="21"/>
                      <w:lang w:val="en-US" w:eastAsia="zh-CN"/>
                    </w:rPr>
                    <w:t>依托</w:t>
                  </w:r>
                </w:p>
              </w:tc>
            </w:tr>
          </w:tbl>
          <w:p w14:paraId="2B5172AA">
            <w:pPr>
              <w:keepNext w:val="0"/>
              <w:keepLines w:val="0"/>
              <w:pageBreakBefore w:val="0"/>
              <w:widowControl w:val="0"/>
              <w:kinsoku/>
              <w:wordWrap/>
              <w:overflowPunct/>
              <w:topLinePunct w:val="0"/>
              <w:bidi w:val="0"/>
              <w:spacing w:line="480" w:lineRule="exact"/>
              <w:ind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 xml:space="preserve">2.3 </w:t>
            </w:r>
            <w:r>
              <w:rPr>
                <w:rFonts w:hint="eastAsia" w:cs="Times New Roman"/>
                <w:b/>
                <w:bCs w:val="0"/>
                <w:color w:val="auto"/>
                <w:spacing w:val="0"/>
                <w:sz w:val="24"/>
                <w:szCs w:val="24"/>
                <w:highlight w:val="none"/>
                <w:lang w:val="en-US" w:eastAsia="zh-CN"/>
              </w:rPr>
              <w:t>本项目能源消耗</w:t>
            </w:r>
          </w:p>
          <w:p w14:paraId="3C47150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本项目主要能源消耗见下表。</w:t>
            </w:r>
          </w:p>
          <w:p w14:paraId="7336A709">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黑体" w:cs="Times New Roman"/>
                <w:iCs/>
                <w:snapToGrid w:val="0"/>
                <w:color w:val="auto"/>
                <w:spacing w:val="0"/>
                <w:kern w:val="0"/>
                <w:sz w:val="21"/>
                <w:szCs w:val="20"/>
                <w:highlight w:val="none"/>
                <w:lang w:val="en-US" w:eastAsia="zh-CN" w:bidi="ar-SA"/>
              </w:rPr>
              <w:t>表</w:t>
            </w:r>
            <w:r>
              <w:rPr>
                <w:rFonts w:hint="eastAsia" w:eastAsia="黑体" w:cs="Times New Roman"/>
                <w:iCs/>
                <w:snapToGrid w:val="0"/>
                <w:color w:val="auto"/>
                <w:spacing w:val="0"/>
                <w:kern w:val="0"/>
                <w:sz w:val="21"/>
                <w:szCs w:val="20"/>
                <w:highlight w:val="none"/>
                <w:lang w:val="en-US" w:eastAsia="zh-CN" w:bidi="ar-SA"/>
              </w:rPr>
              <w:t>2.3-1</w:t>
            </w:r>
            <w:r>
              <w:rPr>
                <w:rFonts w:hint="default" w:ascii="Times New Roman" w:hAnsi="Times New Roman" w:eastAsia="黑体" w:cs="Times New Roman"/>
                <w:iCs/>
                <w:snapToGrid w:val="0"/>
                <w:color w:val="auto"/>
                <w:spacing w:val="0"/>
                <w:kern w:val="0"/>
                <w:sz w:val="21"/>
                <w:szCs w:val="20"/>
                <w:highlight w:val="none"/>
                <w:lang w:val="en-US" w:eastAsia="zh-CN" w:bidi="ar-SA"/>
              </w:rPr>
              <w:t xml:space="preserve">  </w:t>
            </w:r>
            <w:r>
              <w:rPr>
                <w:rFonts w:hint="eastAsia" w:eastAsia="黑体" w:cs="Times New Roman"/>
                <w:iCs/>
                <w:snapToGrid w:val="0"/>
                <w:color w:val="auto"/>
                <w:spacing w:val="0"/>
                <w:kern w:val="0"/>
                <w:sz w:val="21"/>
                <w:szCs w:val="20"/>
                <w:highlight w:val="none"/>
                <w:lang w:val="en-US" w:eastAsia="zh-CN" w:bidi="ar-SA"/>
              </w:rPr>
              <w:t xml:space="preserve"> 主要原、辅材料及能源消耗一览</w:t>
            </w:r>
            <w:r>
              <w:rPr>
                <w:rFonts w:hint="default" w:ascii="Times New Roman" w:hAnsi="Times New Roman" w:eastAsia="黑体" w:cs="Times New Roman"/>
                <w:iCs/>
                <w:snapToGrid w:val="0"/>
                <w:color w:val="auto"/>
                <w:spacing w:val="0"/>
                <w:kern w:val="0"/>
                <w:sz w:val="21"/>
                <w:szCs w:val="20"/>
                <w:highlight w:val="none"/>
                <w:lang w:val="en-US" w:eastAsia="zh-CN" w:bidi="ar-SA"/>
              </w:rPr>
              <w:t>表</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7"/>
              <w:gridCol w:w="3025"/>
              <w:gridCol w:w="3479"/>
            </w:tblGrid>
            <w:tr w14:paraId="4628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pct"/>
                </w:tcPr>
                <w:p w14:paraId="4AA0601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名称</w:t>
                  </w:r>
                </w:p>
              </w:tc>
              <w:tc>
                <w:tcPr>
                  <w:tcW w:w="1892" w:type="pct"/>
                </w:tcPr>
                <w:p w14:paraId="5949955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年用量</w:t>
                  </w:r>
                </w:p>
              </w:tc>
              <w:tc>
                <w:tcPr>
                  <w:tcW w:w="2176" w:type="pct"/>
                </w:tcPr>
                <w:p w14:paraId="58E8384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备注</w:t>
                  </w:r>
                </w:p>
              </w:tc>
            </w:tr>
            <w:tr w14:paraId="0328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pct"/>
                </w:tcPr>
                <w:p w14:paraId="1ED1816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天然气</w:t>
                  </w:r>
                </w:p>
              </w:tc>
              <w:tc>
                <w:tcPr>
                  <w:tcW w:w="1892" w:type="pct"/>
                </w:tcPr>
                <w:p w14:paraId="02398A9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211.68万m</w:t>
                  </w:r>
                  <w:r>
                    <w:rPr>
                      <w:rFonts w:hint="eastAsia" w:ascii="Times New Roman" w:hAnsi="Times New Roman" w:cs="Times New Roman"/>
                      <w:color w:val="auto"/>
                      <w:sz w:val="21"/>
                      <w:szCs w:val="21"/>
                      <w:vertAlign w:val="superscript"/>
                      <w:lang w:val="en-US" w:eastAsia="zh-CN"/>
                    </w:rPr>
                    <w:t>3</w:t>
                  </w:r>
                </w:p>
              </w:tc>
              <w:tc>
                <w:tcPr>
                  <w:tcW w:w="2176" w:type="pct"/>
                </w:tcPr>
                <w:p w14:paraId="54923A7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由</w:t>
                  </w:r>
                  <w:r>
                    <w:rPr>
                      <w:rFonts w:hint="default" w:ascii="Times New Roman" w:hAnsi="Times New Roman" w:cs="Times New Roman"/>
                      <w:color w:val="auto"/>
                      <w:sz w:val="21"/>
                      <w:szCs w:val="21"/>
                      <w:lang w:val="en-US" w:eastAsia="zh-CN"/>
                    </w:rPr>
                    <w:t>长子县丹源燃气有限公司提供</w:t>
                  </w:r>
                </w:p>
              </w:tc>
            </w:tr>
            <w:tr w14:paraId="29DA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pct"/>
                </w:tcPr>
                <w:p w14:paraId="12DBAF1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电</w:t>
                  </w:r>
                </w:p>
              </w:tc>
              <w:tc>
                <w:tcPr>
                  <w:tcW w:w="1892" w:type="pct"/>
                </w:tcPr>
                <w:p w14:paraId="2B02425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5万kwh</w:t>
                  </w:r>
                </w:p>
              </w:tc>
              <w:tc>
                <w:tcPr>
                  <w:tcW w:w="2176" w:type="pct"/>
                </w:tcPr>
                <w:p w14:paraId="0FEFD60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依托矿区现有供电系统</w:t>
                  </w:r>
                </w:p>
              </w:tc>
            </w:tr>
            <w:tr w14:paraId="5B47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pct"/>
                </w:tcPr>
                <w:p w14:paraId="31BF2FE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水</w:t>
                  </w:r>
                </w:p>
              </w:tc>
              <w:tc>
                <w:tcPr>
                  <w:tcW w:w="1892" w:type="pct"/>
                </w:tcPr>
                <w:p w14:paraId="49F9EB3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highlight w:val="none"/>
                      <w:lang w:val="en-US" w:eastAsia="zh-CN"/>
                    </w:rPr>
                    <w:t>10080m</w:t>
                  </w:r>
                  <w:r>
                    <w:rPr>
                      <w:rFonts w:hint="eastAsia" w:ascii="Times New Roman" w:hAnsi="Times New Roman" w:cs="Times New Roman"/>
                      <w:color w:val="auto"/>
                      <w:sz w:val="21"/>
                      <w:szCs w:val="21"/>
                      <w:highlight w:val="none"/>
                      <w:vertAlign w:val="superscript"/>
                      <w:lang w:val="en-US" w:eastAsia="zh-CN"/>
                    </w:rPr>
                    <w:t>3</w:t>
                  </w:r>
                </w:p>
              </w:tc>
              <w:tc>
                <w:tcPr>
                  <w:tcW w:w="2176" w:type="pct"/>
                </w:tcPr>
                <w:p w14:paraId="2A0CC4B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依托现有工程软化水制备系统</w:t>
                  </w:r>
                </w:p>
              </w:tc>
            </w:tr>
            <w:tr w14:paraId="76084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0" w:type="pct"/>
                </w:tcPr>
                <w:p w14:paraId="31E2658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离子交换树脂</w:t>
                  </w:r>
                </w:p>
              </w:tc>
              <w:tc>
                <w:tcPr>
                  <w:tcW w:w="1892" w:type="pct"/>
                </w:tcPr>
                <w:p w14:paraId="1153C7A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0.2t/a</w:t>
                  </w:r>
                </w:p>
              </w:tc>
              <w:tc>
                <w:tcPr>
                  <w:tcW w:w="2176" w:type="pct"/>
                </w:tcPr>
                <w:p w14:paraId="57206D7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highlight w:val="yellow"/>
                      <w:lang w:val="en-US" w:eastAsia="zh-CN"/>
                    </w:rPr>
                  </w:pPr>
                  <w:r>
                    <w:rPr>
                      <w:rFonts w:hint="eastAsia" w:ascii="Times New Roman" w:hAnsi="Times New Roman" w:cs="Times New Roman"/>
                      <w:color w:val="auto"/>
                      <w:sz w:val="21"/>
                      <w:szCs w:val="21"/>
                      <w:highlight w:val="none"/>
                      <w:lang w:val="en-US" w:eastAsia="zh-CN"/>
                    </w:rPr>
                    <w:t>由更换厂家提供</w:t>
                  </w:r>
                </w:p>
              </w:tc>
            </w:tr>
          </w:tbl>
          <w:p w14:paraId="242CAD9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本项目锅炉使用天然气通过现有管道输送至锅炉房内，本次天然气成分采用2026年长子县丹源燃气有限公司委托晋城市综合检验检测中心出具的检验报告（见附件10）。其主要组分见表2.3-2。</w:t>
            </w:r>
          </w:p>
          <w:p w14:paraId="76948B10">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黑体" w:cs="Times New Roman"/>
                <w:iCs/>
                <w:snapToGrid w:val="0"/>
                <w:color w:val="auto"/>
                <w:spacing w:val="0"/>
                <w:kern w:val="0"/>
                <w:sz w:val="21"/>
                <w:szCs w:val="20"/>
                <w:highlight w:val="none"/>
                <w:lang w:val="en-US" w:eastAsia="zh-CN" w:bidi="ar-SA"/>
              </w:rPr>
              <w:t>表</w:t>
            </w:r>
            <w:r>
              <w:rPr>
                <w:rFonts w:hint="eastAsia" w:eastAsia="黑体" w:cs="Times New Roman"/>
                <w:iCs/>
                <w:snapToGrid w:val="0"/>
                <w:color w:val="auto"/>
                <w:spacing w:val="0"/>
                <w:kern w:val="0"/>
                <w:sz w:val="21"/>
                <w:szCs w:val="20"/>
                <w:highlight w:val="none"/>
                <w:lang w:val="en-US" w:eastAsia="zh-CN" w:bidi="ar-SA"/>
              </w:rPr>
              <w:t>2.3-2</w:t>
            </w:r>
            <w:r>
              <w:rPr>
                <w:rFonts w:hint="default" w:ascii="Times New Roman" w:hAnsi="Times New Roman" w:eastAsia="黑体" w:cs="Times New Roman"/>
                <w:iCs/>
                <w:snapToGrid w:val="0"/>
                <w:color w:val="auto"/>
                <w:spacing w:val="0"/>
                <w:kern w:val="0"/>
                <w:sz w:val="21"/>
                <w:szCs w:val="20"/>
                <w:highlight w:val="none"/>
                <w:lang w:val="en-US" w:eastAsia="zh-CN" w:bidi="ar-SA"/>
              </w:rPr>
              <w:t xml:space="preserve">  </w:t>
            </w:r>
            <w:r>
              <w:rPr>
                <w:rFonts w:hint="eastAsia" w:eastAsia="黑体" w:cs="Times New Roman"/>
                <w:iCs/>
                <w:snapToGrid w:val="0"/>
                <w:color w:val="auto"/>
                <w:spacing w:val="0"/>
                <w:kern w:val="0"/>
                <w:sz w:val="21"/>
                <w:szCs w:val="20"/>
                <w:highlight w:val="none"/>
                <w:lang w:val="en-US" w:eastAsia="zh-CN" w:bidi="ar-SA"/>
              </w:rPr>
              <w:t xml:space="preserve"> 天然气主要组分一览表</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955"/>
              <w:gridCol w:w="955"/>
              <w:gridCol w:w="955"/>
              <w:gridCol w:w="955"/>
              <w:gridCol w:w="955"/>
              <w:gridCol w:w="478"/>
              <w:gridCol w:w="347"/>
              <w:gridCol w:w="1085"/>
            </w:tblGrid>
            <w:tr w14:paraId="2773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817" w:type="pct"/>
                </w:tcPr>
                <w:p w14:paraId="16CD3EA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组分名称</w:t>
                  </w:r>
                </w:p>
              </w:tc>
              <w:tc>
                <w:tcPr>
                  <w:tcW w:w="597" w:type="pct"/>
                </w:tcPr>
                <w:p w14:paraId="4DDA330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甲烷</w:t>
                  </w:r>
                </w:p>
              </w:tc>
              <w:tc>
                <w:tcPr>
                  <w:tcW w:w="597" w:type="pct"/>
                </w:tcPr>
                <w:p w14:paraId="74C62FA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氮气</w:t>
                  </w:r>
                </w:p>
              </w:tc>
              <w:tc>
                <w:tcPr>
                  <w:tcW w:w="597" w:type="pct"/>
                </w:tcPr>
                <w:p w14:paraId="307B355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氦气</w:t>
                  </w:r>
                </w:p>
              </w:tc>
              <w:tc>
                <w:tcPr>
                  <w:tcW w:w="597" w:type="pct"/>
                </w:tcPr>
                <w:p w14:paraId="080C38E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氢气</w:t>
                  </w:r>
                </w:p>
              </w:tc>
              <w:tc>
                <w:tcPr>
                  <w:tcW w:w="597" w:type="pct"/>
                </w:tcPr>
                <w:p w14:paraId="29CB471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氧气</w:t>
                  </w:r>
                </w:p>
              </w:tc>
              <w:tc>
                <w:tcPr>
                  <w:tcW w:w="516" w:type="pct"/>
                  <w:gridSpan w:val="2"/>
                </w:tcPr>
                <w:p w14:paraId="0A94303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乙烷</w:t>
                  </w:r>
                </w:p>
              </w:tc>
              <w:tc>
                <w:tcPr>
                  <w:tcW w:w="678" w:type="pct"/>
                </w:tcPr>
                <w:p w14:paraId="0E3C701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二氧化碳</w:t>
                  </w:r>
                </w:p>
              </w:tc>
            </w:tr>
            <w:tr w14:paraId="1B97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pct"/>
                </w:tcPr>
                <w:p w14:paraId="19270E1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组分占比%</w:t>
                  </w:r>
                </w:p>
              </w:tc>
              <w:tc>
                <w:tcPr>
                  <w:tcW w:w="597" w:type="pct"/>
                </w:tcPr>
                <w:p w14:paraId="5BF2101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94.6</w:t>
                  </w:r>
                </w:p>
              </w:tc>
              <w:tc>
                <w:tcPr>
                  <w:tcW w:w="597" w:type="pct"/>
                </w:tcPr>
                <w:p w14:paraId="4178DC2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5.01</w:t>
                  </w:r>
                </w:p>
              </w:tc>
              <w:tc>
                <w:tcPr>
                  <w:tcW w:w="597" w:type="pct"/>
                </w:tcPr>
                <w:p w14:paraId="4AEDBFC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0.011</w:t>
                  </w:r>
                </w:p>
              </w:tc>
              <w:tc>
                <w:tcPr>
                  <w:tcW w:w="597" w:type="pct"/>
                </w:tcPr>
                <w:p w14:paraId="2A35F0C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0.004</w:t>
                  </w:r>
                </w:p>
              </w:tc>
              <w:tc>
                <w:tcPr>
                  <w:tcW w:w="597" w:type="pct"/>
                </w:tcPr>
                <w:p w14:paraId="0F69F89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0.353</w:t>
                  </w:r>
                </w:p>
              </w:tc>
              <w:tc>
                <w:tcPr>
                  <w:tcW w:w="516" w:type="pct"/>
                  <w:gridSpan w:val="2"/>
                </w:tcPr>
                <w:p w14:paraId="082C60E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0.011</w:t>
                  </w:r>
                </w:p>
              </w:tc>
              <w:tc>
                <w:tcPr>
                  <w:tcW w:w="678" w:type="pct"/>
                </w:tcPr>
                <w:p w14:paraId="4EB0BC3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0.043</w:t>
                  </w:r>
                </w:p>
              </w:tc>
            </w:tr>
            <w:tr w14:paraId="7E247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pct"/>
                </w:tcPr>
                <w:p w14:paraId="42F5ED4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组分名称</w:t>
                  </w:r>
                </w:p>
              </w:tc>
              <w:tc>
                <w:tcPr>
                  <w:tcW w:w="1195" w:type="pct"/>
                  <w:gridSpan w:val="2"/>
                </w:tcPr>
                <w:p w14:paraId="06A2591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高位发热量</w:t>
                  </w:r>
                </w:p>
              </w:tc>
              <w:tc>
                <w:tcPr>
                  <w:tcW w:w="1195" w:type="pct"/>
                  <w:gridSpan w:val="2"/>
                </w:tcPr>
                <w:p w14:paraId="24322F3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低位发热量</w:t>
                  </w:r>
                </w:p>
              </w:tc>
              <w:tc>
                <w:tcPr>
                  <w:tcW w:w="896" w:type="pct"/>
                  <w:gridSpan w:val="2"/>
                </w:tcPr>
                <w:p w14:paraId="4DCAE58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密度</w:t>
                  </w:r>
                </w:p>
              </w:tc>
              <w:tc>
                <w:tcPr>
                  <w:tcW w:w="896" w:type="pct"/>
                  <w:gridSpan w:val="2"/>
                </w:tcPr>
                <w:p w14:paraId="3AAEF97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总硫含量S</w:t>
                  </w:r>
                </w:p>
              </w:tc>
            </w:tr>
            <w:tr w14:paraId="22EF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pct"/>
                </w:tcPr>
                <w:p w14:paraId="6292046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组分含量</w:t>
                  </w:r>
                </w:p>
              </w:tc>
              <w:tc>
                <w:tcPr>
                  <w:tcW w:w="1195" w:type="pct"/>
                  <w:gridSpan w:val="2"/>
                </w:tcPr>
                <w:p w14:paraId="0D60F7C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35.10MJ/m</w:t>
                  </w:r>
                  <w:r>
                    <w:rPr>
                      <w:rFonts w:hint="eastAsia" w:ascii="Times New Roman" w:hAnsi="Times New Roman" w:cs="Times New Roman"/>
                      <w:color w:val="auto"/>
                      <w:sz w:val="21"/>
                      <w:szCs w:val="21"/>
                      <w:vertAlign w:val="superscript"/>
                      <w:lang w:val="en-US" w:eastAsia="zh-CN"/>
                    </w:rPr>
                    <w:t>3</w:t>
                  </w:r>
                </w:p>
              </w:tc>
              <w:tc>
                <w:tcPr>
                  <w:tcW w:w="1195" w:type="pct"/>
                  <w:gridSpan w:val="2"/>
                </w:tcPr>
                <w:p w14:paraId="72E89A3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31.62MJ/m</w:t>
                  </w:r>
                  <w:r>
                    <w:rPr>
                      <w:rFonts w:hint="eastAsia" w:ascii="Times New Roman" w:hAnsi="Times New Roman" w:cs="Times New Roman"/>
                      <w:color w:val="auto"/>
                      <w:sz w:val="21"/>
                      <w:szCs w:val="21"/>
                      <w:vertAlign w:val="superscript"/>
                      <w:lang w:val="en-US" w:eastAsia="zh-CN"/>
                    </w:rPr>
                    <w:t>3</w:t>
                  </w:r>
                </w:p>
              </w:tc>
              <w:tc>
                <w:tcPr>
                  <w:tcW w:w="896" w:type="pct"/>
                  <w:gridSpan w:val="2"/>
                </w:tcPr>
                <w:p w14:paraId="5F036B5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0.6958kg/m</w:t>
                  </w:r>
                  <w:r>
                    <w:rPr>
                      <w:rFonts w:hint="eastAsia" w:ascii="Times New Roman" w:hAnsi="Times New Roman" w:cs="Times New Roman"/>
                      <w:color w:val="auto"/>
                      <w:sz w:val="21"/>
                      <w:szCs w:val="21"/>
                      <w:vertAlign w:val="superscript"/>
                      <w:lang w:val="en-US" w:eastAsia="zh-CN"/>
                    </w:rPr>
                    <w:t>3</w:t>
                  </w:r>
                </w:p>
              </w:tc>
              <w:tc>
                <w:tcPr>
                  <w:tcW w:w="896" w:type="pct"/>
                  <w:gridSpan w:val="2"/>
                </w:tcPr>
                <w:p w14:paraId="453BA7A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3.8mg/m</w:t>
                  </w:r>
                  <w:r>
                    <w:rPr>
                      <w:rFonts w:hint="eastAsia" w:ascii="Times New Roman" w:hAnsi="Times New Roman" w:cs="Times New Roman"/>
                      <w:color w:val="auto"/>
                      <w:sz w:val="21"/>
                      <w:szCs w:val="21"/>
                      <w:vertAlign w:val="superscript"/>
                      <w:lang w:val="en-US" w:eastAsia="zh-CN"/>
                    </w:rPr>
                    <w:t>3</w:t>
                  </w:r>
                </w:p>
              </w:tc>
            </w:tr>
          </w:tbl>
          <w:p w14:paraId="2F63E9D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根据燃气锅炉耗气量计算公式：</w:t>
            </w:r>
          </w:p>
          <w:p w14:paraId="0A21DE7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color w:val="auto"/>
              </w:rPr>
            </w:pPr>
            <w:r>
              <w:rPr>
                <w:color w:val="auto"/>
              </w:rPr>
              <w:drawing>
                <wp:inline distT="0" distB="0" distL="114300" distR="114300">
                  <wp:extent cx="1628775" cy="628650"/>
                  <wp:effectExtent l="0" t="0" r="9525" b="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22"/>
                          <a:stretch>
                            <a:fillRect/>
                          </a:stretch>
                        </pic:blipFill>
                        <pic:spPr>
                          <a:xfrm>
                            <a:off x="0" y="0"/>
                            <a:ext cx="1628775" cy="628650"/>
                          </a:xfrm>
                          <a:prstGeom prst="rect">
                            <a:avLst/>
                          </a:prstGeom>
                          <a:noFill/>
                          <a:ln>
                            <a:noFill/>
                          </a:ln>
                        </pic:spPr>
                      </pic:pic>
                    </a:graphicData>
                  </a:graphic>
                </wp:inline>
              </w:drawing>
            </w:r>
          </w:p>
          <w:p w14:paraId="2F6D796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color w:val="auto"/>
                <w:sz w:val="24"/>
                <w:szCs w:val="24"/>
                <w:lang w:val="en-US" w:eastAsia="zh-CN"/>
              </w:rPr>
            </w:pPr>
            <w:r>
              <w:rPr>
                <w:rFonts w:hint="eastAsia"/>
                <w:color w:val="auto"/>
                <w:sz w:val="24"/>
                <w:szCs w:val="24"/>
                <w:lang w:val="en-US" w:eastAsia="zh-CN"/>
              </w:rPr>
              <w:t>式中：V——天然气耗量，Nm</w:t>
            </w:r>
            <w:r>
              <w:rPr>
                <w:rFonts w:hint="eastAsia"/>
                <w:color w:val="auto"/>
                <w:sz w:val="24"/>
                <w:szCs w:val="24"/>
                <w:vertAlign w:val="superscript"/>
                <w:lang w:val="en-US" w:eastAsia="zh-CN"/>
              </w:rPr>
              <w:t>3</w:t>
            </w:r>
            <w:r>
              <w:rPr>
                <w:rFonts w:hint="eastAsia"/>
                <w:color w:val="auto"/>
                <w:sz w:val="24"/>
                <w:szCs w:val="24"/>
                <w:lang w:val="en-US" w:eastAsia="zh-CN"/>
              </w:rPr>
              <w:t>/h；</w:t>
            </w:r>
          </w:p>
          <w:p w14:paraId="7F1D56E5">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eastAsia"/>
                <w:color w:val="auto"/>
                <w:sz w:val="24"/>
                <w:szCs w:val="24"/>
                <w:lang w:val="en-US" w:eastAsia="zh-CN"/>
              </w:rPr>
            </w:pPr>
            <w:r>
              <w:rPr>
                <w:rFonts w:hint="eastAsia"/>
                <w:color w:val="auto"/>
                <w:sz w:val="24"/>
                <w:szCs w:val="24"/>
                <w:lang w:val="en-US" w:eastAsia="zh-CN"/>
              </w:rPr>
              <w:t>Q——锅炉额定热功率，3.5MW；</w:t>
            </w:r>
          </w:p>
          <w:p w14:paraId="7697A23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szCs w:val="24"/>
                <w:lang w:val="en-US" w:eastAsia="zh-CN"/>
              </w:rPr>
            </w:pPr>
            <w:r>
              <w:rPr>
                <w:rFonts w:hint="eastAsia"/>
                <w:color w:val="auto"/>
                <w:sz w:val="24"/>
                <w:szCs w:val="24"/>
                <w:lang w:val="en-US" w:eastAsia="zh-CN"/>
              </w:rPr>
              <w:t xml:space="preserve">      q</w:t>
            </w:r>
            <w:r>
              <w:rPr>
                <w:rFonts w:hint="eastAsia"/>
                <w:color w:val="auto"/>
                <w:sz w:val="24"/>
                <w:szCs w:val="24"/>
                <w:vertAlign w:val="subscript"/>
                <w:lang w:val="en-US" w:eastAsia="zh-CN"/>
              </w:rPr>
              <w:t>net</w:t>
            </w:r>
            <w:r>
              <w:rPr>
                <w:rFonts w:hint="eastAsia"/>
                <w:color w:val="auto"/>
                <w:sz w:val="24"/>
                <w:szCs w:val="24"/>
                <w:lang w:val="en-US" w:eastAsia="zh-CN"/>
              </w:rPr>
              <w:t>——燃气低位发热量，31.62</w:t>
            </w:r>
            <w:r>
              <w:rPr>
                <w:rFonts w:hint="eastAsia" w:ascii="Times New Roman" w:hAnsi="Times New Roman" w:cs="Times New Roman"/>
                <w:color w:val="auto"/>
                <w:sz w:val="24"/>
                <w:szCs w:val="24"/>
                <w:lang w:val="en-US" w:eastAsia="zh-CN"/>
              </w:rPr>
              <w:t>MJ/m</w:t>
            </w:r>
            <w:r>
              <w:rPr>
                <w:rFonts w:hint="eastAsia" w:ascii="Times New Roman" w:hAnsi="Times New Roman" w:cs="Times New Roman"/>
                <w:color w:val="auto"/>
                <w:sz w:val="24"/>
                <w:szCs w:val="24"/>
                <w:vertAlign w:val="superscript"/>
                <w:lang w:val="en-US" w:eastAsia="zh-CN"/>
              </w:rPr>
              <w:t>3</w:t>
            </w:r>
            <w:r>
              <w:rPr>
                <w:rFonts w:hint="eastAsia"/>
                <w:color w:val="auto"/>
                <w:sz w:val="24"/>
                <w:szCs w:val="24"/>
                <w:lang w:val="en-US" w:eastAsia="zh-CN"/>
              </w:rPr>
              <w:t>；</w:t>
            </w:r>
          </w:p>
          <w:p w14:paraId="2BE5F809">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eastAsia" w:cs="Times New Roman"/>
                <w:color w:val="auto"/>
                <w:sz w:val="24"/>
                <w:szCs w:val="24"/>
                <w:lang w:val="en-US" w:eastAsia="zh-CN"/>
              </w:rPr>
            </w:pPr>
            <w:r>
              <w:rPr>
                <w:rFonts w:hint="default"/>
                <w:color w:val="auto"/>
                <w:sz w:val="24"/>
                <w:szCs w:val="24"/>
                <w:lang w:val="en-US" w:eastAsia="zh-CN"/>
              </w:rPr>
              <w:t>η</w:t>
            </w:r>
            <w:r>
              <w:rPr>
                <w:rFonts w:hint="eastAsia"/>
                <w:color w:val="auto"/>
                <w:sz w:val="24"/>
                <w:szCs w:val="24"/>
                <w:lang w:val="en-US" w:eastAsia="zh-CN"/>
              </w:rPr>
              <w:t>——</w:t>
            </w:r>
            <w:r>
              <w:rPr>
                <w:rFonts w:hint="eastAsia" w:ascii="Times New Roman" w:hAnsi="Times New Roman" w:cs="Times New Roman"/>
                <w:color w:val="auto"/>
                <w:sz w:val="24"/>
                <w:szCs w:val="24"/>
                <w:lang w:val="en-US" w:eastAsia="zh-CN"/>
              </w:rPr>
              <w:t>热效率</w:t>
            </w:r>
            <w:r>
              <w:rPr>
                <w:rFonts w:hint="eastAsia" w:cs="Times New Roman"/>
                <w:color w:val="auto"/>
                <w:sz w:val="24"/>
                <w:szCs w:val="24"/>
                <w:lang w:val="en-US" w:eastAsia="zh-CN"/>
              </w:rPr>
              <w:t>，取95%；</w:t>
            </w:r>
          </w:p>
          <w:p w14:paraId="4B426C8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cs="Times New Roman"/>
                <w:color w:val="auto"/>
                <w:sz w:val="24"/>
                <w:szCs w:val="24"/>
                <w:lang w:val="en-US" w:eastAsia="zh-CN"/>
              </w:rPr>
            </w:pPr>
            <w:r>
              <w:rPr>
                <w:rFonts w:hint="eastAsia" w:cs="Times New Roman"/>
                <w:color w:val="auto"/>
                <w:sz w:val="24"/>
                <w:szCs w:val="24"/>
                <w:lang w:val="en-US" w:eastAsia="zh-CN"/>
              </w:rPr>
              <w:t>计算得出，本项目燃气锅炉燃气量V=420Nm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/h，锅炉非采暖期运行，运行时间为210天，每天24小时，则本项目锅炉燃气量为2116800m</w:t>
            </w:r>
            <w:r>
              <w:rPr>
                <w:rFonts w:hint="eastAsia" w:cs="Times New Roman"/>
                <w:color w:val="auto"/>
                <w:sz w:val="24"/>
                <w:szCs w:val="24"/>
                <w:vertAlign w:val="superscript"/>
                <w:lang w:val="en-US" w:eastAsia="zh-CN"/>
              </w:rPr>
              <w:t>3</w:t>
            </w:r>
            <w:r>
              <w:rPr>
                <w:rFonts w:hint="eastAsia" w:cs="Times New Roman"/>
                <w:color w:val="auto"/>
                <w:sz w:val="24"/>
                <w:szCs w:val="24"/>
                <w:lang w:val="en-US" w:eastAsia="zh-CN"/>
              </w:rPr>
              <w:t>/a。</w:t>
            </w:r>
          </w:p>
          <w:p w14:paraId="1CE6222D">
            <w:pPr>
              <w:keepNext w:val="0"/>
              <w:keepLines w:val="0"/>
              <w:pageBreakBefore w:val="0"/>
              <w:widowControl w:val="0"/>
              <w:kinsoku/>
              <w:wordWrap/>
              <w:overflowPunct/>
              <w:topLinePunct w:val="0"/>
              <w:bidi w:val="0"/>
              <w:spacing w:line="480" w:lineRule="exact"/>
              <w:ind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 xml:space="preserve">2.4 </w:t>
            </w:r>
            <w:r>
              <w:rPr>
                <w:rFonts w:hint="default" w:ascii="Times New Roman" w:hAnsi="Times New Roman" w:eastAsia="宋体" w:cs="Times New Roman"/>
                <w:b/>
                <w:bCs w:val="0"/>
                <w:color w:val="auto"/>
                <w:spacing w:val="0"/>
                <w:sz w:val="24"/>
                <w:szCs w:val="24"/>
                <w:highlight w:val="none"/>
                <w:lang w:val="en-US" w:eastAsia="zh-CN"/>
              </w:rPr>
              <w:t>生产设备</w:t>
            </w:r>
          </w:p>
          <w:p w14:paraId="25870E40">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宋体" w:cs="Times New Roman"/>
                <w:bCs/>
                <w:color w:val="auto"/>
                <w:spacing w:val="0"/>
                <w:sz w:val="24"/>
                <w:szCs w:val="24"/>
                <w:highlight w:val="none"/>
                <w:lang w:val="en-US" w:eastAsia="zh-CN"/>
              </w:rPr>
              <w:t>本项目主要设备见</w:t>
            </w:r>
            <w:r>
              <w:rPr>
                <w:rFonts w:hint="eastAsia" w:cs="Times New Roman"/>
                <w:bCs/>
                <w:color w:val="auto"/>
                <w:spacing w:val="0"/>
                <w:sz w:val="24"/>
                <w:szCs w:val="24"/>
                <w:highlight w:val="none"/>
                <w:lang w:val="en-US" w:eastAsia="zh-CN"/>
              </w:rPr>
              <w:t>下</w:t>
            </w:r>
            <w:r>
              <w:rPr>
                <w:rFonts w:hint="default" w:ascii="Times New Roman" w:hAnsi="Times New Roman" w:eastAsia="宋体" w:cs="Times New Roman"/>
                <w:bCs/>
                <w:color w:val="auto"/>
                <w:spacing w:val="0"/>
                <w:sz w:val="24"/>
                <w:szCs w:val="24"/>
                <w:highlight w:val="none"/>
                <w:lang w:val="en-US" w:eastAsia="zh-CN"/>
              </w:rPr>
              <w:t>表。</w:t>
            </w:r>
          </w:p>
          <w:p w14:paraId="6A0AFA47">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黑体" w:cs="Times New Roman"/>
                <w:iCs/>
                <w:snapToGrid w:val="0"/>
                <w:color w:val="auto"/>
                <w:spacing w:val="0"/>
                <w:kern w:val="0"/>
                <w:sz w:val="21"/>
                <w:szCs w:val="20"/>
                <w:highlight w:val="none"/>
                <w:lang w:val="en-US" w:eastAsia="zh-CN" w:bidi="ar-SA"/>
              </w:rPr>
              <w:t>表</w:t>
            </w:r>
            <w:r>
              <w:rPr>
                <w:rFonts w:hint="eastAsia" w:eastAsia="黑体" w:cs="Times New Roman"/>
                <w:iCs/>
                <w:snapToGrid w:val="0"/>
                <w:color w:val="auto"/>
                <w:spacing w:val="0"/>
                <w:kern w:val="0"/>
                <w:sz w:val="21"/>
                <w:szCs w:val="20"/>
                <w:highlight w:val="none"/>
                <w:lang w:val="en-US" w:eastAsia="zh-CN" w:bidi="ar-SA"/>
              </w:rPr>
              <w:t>2.4-1</w:t>
            </w:r>
            <w:r>
              <w:rPr>
                <w:rFonts w:hint="default" w:ascii="Times New Roman" w:hAnsi="Times New Roman" w:eastAsia="黑体" w:cs="Times New Roman"/>
                <w:iCs/>
                <w:snapToGrid w:val="0"/>
                <w:color w:val="auto"/>
                <w:spacing w:val="0"/>
                <w:kern w:val="0"/>
                <w:sz w:val="21"/>
                <w:szCs w:val="20"/>
                <w:highlight w:val="none"/>
                <w:lang w:val="en-US" w:eastAsia="zh-CN" w:bidi="ar-SA"/>
              </w:rPr>
              <w:t xml:space="preserve">  </w:t>
            </w:r>
            <w:r>
              <w:rPr>
                <w:rFonts w:hint="eastAsia" w:eastAsia="黑体" w:cs="Times New Roman"/>
                <w:iCs/>
                <w:snapToGrid w:val="0"/>
                <w:color w:val="auto"/>
                <w:spacing w:val="0"/>
                <w:kern w:val="0"/>
                <w:sz w:val="21"/>
                <w:szCs w:val="20"/>
                <w:highlight w:val="none"/>
                <w:lang w:val="en-US" w:eastAsia="zh-CN" w:bidi="ar-SA"/>
              </w:rPr>
              <w:t xml:space="preserve"> </w:t>
            </w:r>
            <w:r>
              <w:rPr>
                <w:rFonts w:hint="default" w:ascii="Times New Roman" w:hAnsi="Times New Roman" w:eastAsia="黑体" w:cs="Times New Roman"/>
                <w:iCs/>
                <w:snapToGrid w:val="0"/>
                <w:color w:val="auto"/>
                <w:spacing w:val="0"/>
                <w:kern w:val="0"/>
                <w:sz w:val="21"/>
                <w:szCs w:val="20"/>
                <w:highlight w:val="none"/>
                <w:lang w:val="en-US" w:eastAsia="zh-CN" w:bidi="ar-SA"/>
              </w:rPr>
              <w:t>主要设备表</w:t>
            </w:r>
          </w:p>
          <w:tbl>
            <w:tblPr>
              <w:tblStyle w:val="24"/>
              <w:tblW w:w="805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57" w:type="dxa"/>
                <w:bottom w:w="0" w:type="dxa"/>
                <w:right w:w="57" w:type="dxa"/>
              </w:tblCellMar>
            </w:tblPr>
            <w:tblGrid>
              <w:gridCol w:w="615"/>
              <w:gridCol w:w="2232"/>
              <w:gridCol w:w="1951"/>
              <w:gridCol w:w="701"/>
              <w:gridCol w:w="714"/>
              <w:gridCol w:w="1845"/>
            </w:tblGrid>
            <w:tr w14:paraId="3179A1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65" w:hRule="atLeast"/>
                <w:jc w:val="center"/>
              </w:trPr>
              <w:tc>
                <w:tcPr>
                  <w:tcW w:w="615" w:type="dxa"/>
                  <w:noWrap w:val="0"/>
                  <w:vAlign w:val="center"/>
                </w:tcPr>
                <w:p w14:paraId="5954756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序号</w:t>
                  </w:r>
                </w:p>
              </w:tc>
              <w:tc>
                <w:tcPr>
                  <w:tcW w:w="2232" w:type="dxa"/>
                  <w:noWrap w:val="0"/>
                  <w:vAlign w:val="center"/>
                </w:tcPr>
                <w:p w14:paraId="747DDCE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设备名称</w:t>
                  </w:r>
                </w:p>
              </w:tc>
              <w:tc>
                <w:tcPr>
                  <w:tcW w:w="1951" w:type="dxa"/>
                  <w:noWrap w:val="0"/>
                  <w:vAlign w:val="center"/>
                </w:tcPr>
                <w:p w14:paraId="5199D20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型号规格</w:t>
                  </w:r>
                </w:p>
              </w:tc>
              <w:tc>
                <w:tcPr>
                  <w:tcW w:w="701" w:type="dxa"/>
                  <w:noWrap w:val="0"/>
                  <w:vAlign w:val="center"/>
                </w:tcPr>
                <w:p w14:paraId="7495638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单位</w:t>
                  </w:r>
                </w:p>
              </w:tc>
              <w:tc>
                <w:tcPr>
                  <w:tcW w:w="714" w:type="dxa"/>
                  <w:noWrap w:val="0"/>
                  <w:vAlign w:val="center"/>
                </w:tcPr>
                <w:p w14:paraId="1646A50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数量</w:t>
                  </w:r>
                </w:p>
              </w:tc>
              <w:tc>
                <w:tcPr>
                  <w:tcW w:w="1845" w:type="dxa"/>
                  <w:noWrap w:val="0"/>
                  <w:vAlign w:val="center"/>
                </w:tcPr>
                <w:p w14:paraId="3270173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备注</w:t>
                  </w:r>
                </w:p>
              </w:tc>
            </w:tr>
            <w:tr w14:paraId="1FA819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1271" w:hRule="atLeast"/>
                <w:jc w:val="center"/>
              </w:trPr>
              <w:tc>
                <w:tcPr>
                  <w:tcW w:w="615" w:type="dxa"/>
                  <w:noWrap w:val="0"/>
                  <w:vAlign w:val="center"/>
                </w:tcPr>
                <w:p w14:paraId="044FCB5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2232" w:type="dxa"/>
                  <w:noWrap w:val="0"/>
                  <w:vAlign w:val="center"/>
                </w:tcPr>
                <w:p w14:paraId="20E173B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冷凝低氮常压热水锅炉</w:t>
                  </w:r>
                </w:p>
              </w:tc>
              <w:tc>
                <w:tcPr>
                  <w:tcW w:w="1951" w:type="dxa"/>
                  <w:noWrap w:val="0"/>
                  <w:vAlign w:val="center"/>
                </w:tcPr>
                <w:p w14:paraId="5F56215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CWNS3.5-85/65-YQ</w:t>
                  </w:r>
                </w:p>
              </w:tc>
              <w:tc>
                <w:tcPr>
                  <w:tcW w:w="701" w:type="dxa"/>
                  <w:noWrap w:val="0"/>
                  <w:vAlign w:val="center"/>
                </w:tcPr>
                <w:p w14:paraId="3EDCB3C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台</w:t>
                  </w:r>
                </w:p>
              </w:tc>
              <w:tc>
                <w:tcPr>
                  <w:tcW w:w="714" w:type="dxa"/>
                  <w:noWrap w:val="0"/>
                  <w:vAlign w:val="center"/>
                </w:tcPr>
                <w:p w14:paraId="1403858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45" w:type="dxa"/>
                  <w:noWrap w:val="0"/>
                  <w:vAlign w:val="center"/>
                </w:tcPr>
                <w:p w14:paraId="5265B76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额定热功率：3.5MW</w:t>
                  </w: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额定出水/回水温度：85℃/65℃</w:t>
                  </w:r>
                </w:p>
              </w:tc>
            </w:tr>
            <w:tr w14:paraId="5F0502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65" w:hRule="atLeast"/>
                <w:jc w:val="center"/>
              </w:trPr>
              <w:tc>
                <w:tcPr>
                  <w:tcW w:w="615" w:type="dxa"/>
                  <w:noWrap w:val="0"/>
                  <w:vAlign w:val="center"/>
                </w:tcPr>
                <w:p w14:paraId="2ADF133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2232" w:type="dxa"/>
                  <w:noWrap w:val="0"/>
                  <w:vAlign w:val="center"/>
                </w:tcPr>
                <w:p w14:paraId="26A6B4A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节能器、冷凝器</w:t>
                  </w:r>
                </w:p>
              </w:tc>
              <w:tc>
                <w:tcPr>
                  <w:tcW w:w="1951" w:type="dxa"/>
                  <w:noWrap w:val="0"/>
                  <w:vAlign w:val="center"/>
                </w:tcPr>
                <w:p w14:paraId="3CEE43C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配套</w:t>
                  </w:r>
                </w:p>
              </w:tc>
              <w:tc>
                <w:tcPr>
                  <w:tcW w:w="701" w:type="dxa"/>
                  <w:noWrap w:val="0"/>
                  <w:vAlign w:val="center"/>
                </w:tcPr>
                <w:p w14:paraId="1AA5EF1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套</w:t>
                  </w:r>
                </w:p>
              </w:tc>
              <w:tc>
                <w:tcPr>
                  <w:tcW w:w="714" w:type="dxa"/>
                  <w:noWrap w:val="0"/>
                  <w:vAlign w:val="center"/>
                </w:tcPr>
                <w:p w14:paraId="1F33975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45" w:type="dxa"/>
                  <w:noWrap w:val="0"/>
                  <w:vAlign w:val="center"/>
                </w:tcPr>
                <w:p w14:paraId="53B15AA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p>
              </w:tc>
            </w:tr>
            <w:tr w14:paraId="6D92E17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65" w:hRule="atLeast"/>
                <w:jc w:val="center"/>
              </w:trPr>
              <w:tc>
                <w:tcPr>
                  <w:tcW w:w="615" w:type="dxa"/>
                  <w:noWrap w:val="0"/>
                  <w:vAlign w:val="center"/>
                </w:tcPr>
                <w:p w14:paraId="3A18C56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w:t>
                  </w:r>
                </w:p>
              </w:tc>
              <w:tc>
                <w:tcPr>
                  <w:tcW w:w="2232" w:type="dxa"/>
                  <w:noWrap w:val="0"/>
                  <w:vAlign w:val="center"/>
                </w:tcPr>
                <w:p w14:paraId="5A29DE5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锅炉控制柜</w:t>
                  </w:r>
                </w:p>
              </w:tc>
              <w:tc>
                <w:tcPr>
                  <w:tcW w:w="1951" w:type="dxa"/>
                  <w:noWrap w:val="0"/>
                  <w:vAlign w:val="center"/>
                </w:tcPr>
                <w:p w14:paraId="216B91A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X10</w:t>
                  </w:r>
                </w:p>
              </w:tc>
              <w:tc>
                <w:tcPr>
                  <w:tcW w:w="701" w:type="dxa"/>
                  <w:noWrap w:val="0"/>
                  <w:vAlign w:val="center"/>
                </w:tcPr>
                <w:p w14:paraId="3E2BB83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台</w:t>
                  </w:r>
                </w:p>
              </w:tc>
              <w:tc>
                <w:tcPr>
                  <w:tcW w:w="714" w:type="dxa"/>
                  <w:noWrap w:val="0"/>
                  <w:vAlign w:val="center"/>
                </w:tcPr>
                <w:p w14:paraId="728D18F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45" w:type="dxa"/>
                  <w:noWrap w:val="0"/>
                  <w:vAlign w:val="center"/>
                </w:tcPr>
                <w:p w14:paraId="5898543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p>
              </w:tc>
            </w:tr>
            <w:tr w14:paraId="2D4E0B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1271" w:hRule="atLeast"/>
                <w:jc w:val="center"/>
              </w:trPr>
              <w:tc>
                <w:tcPr>
                  <w:tcW w:w="615" w:type="dxa"/>
                  <w:noWrap w:val="0"/>
                  <w:vAlign w:val="center"/>
                </w:tcPr>
                <w:p w14:paraId="140853E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w:t>
                  </w:r>
                </w:p>
              </w:tc>
              <w:tc>
                <w:tcPr>
                  <w:tcW w:w="2232" w:type="dxa"/>
                  <w:noWrap w:val="0"/>
                  <w:vAlign w:val="center"/>
                </w:tcPr>
                <w:p w14:paraId="25D1EC7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燃气燃烧器</w:t>
                  </w:r>
                </w:p>
              </w:tc>
              <w:tc>
                <w:tcPr>
                  <w:tcW w:w="1951" w:type="dxa"/>
                  <w:noWrap w:val="0"/>
                  <w:vAlign w:val="center"/>
                </w:tcPr>
                <w:p w14:paraId="535DB4D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BTG11-ULN</w:t>
                  </w:r>
                </w:p>
              </w:tc>
              <w:tc>
                <w:tcPr>
                  <w:tcW w:w="701" w:type="dxa"/>
                  <w:noWrap w:val="0"/>
                  <w:vAlign w:val="center"/>
                </w:tcPr>
                <w:p w14:paraId="5433B4C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台</w:t>
                  </w:r>
                </w:p>
              </w:tc>
              <w:tc>
                <w:tcPr>
                  <w:tcW w:w="714" w:type="dxa"/>
                  <w:noWrap w:val="0"/>
                  <w:vAlign w:val="center"/>
                </w:tcPr>
                <w:p w14:paraId="2C654DE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45" w:type="dxa"/>
                  <w:noWrap w:val="0"/>
                  <w:vAlign w:val="center"/>
                </w:tcPr>
                <w:p w14:paraId="6B63288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采用一体式结构，内置鼓风机+FGR烟气循环、内置燃烧器BMS控制</w:t>
                  </w:r>
                </w:p>
              </w:tc>
            </w:tr>
            <w:tr w14:paraId="682401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65" w:hRule="atLeast"/>
                <w:jc w:val="center"/>
              </w:trPr>
              <w:tc>
                <w:tcPr>
                  <w:tcW w:w="615" w:type="dxa"/>
                  <w:noWrap w:val="0"/>
                  <w:vAlign w:val="center"/>
                </w:tcPr>
                <w:p w14:paraId="1995FA7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5</w:t>
                  </w:r>
                </w:p>
              </w:tc>
              <w:tc>
                <w:tcPr>
                  <w:tcW w:w="2232" w:type="dxa"/>
                  <w:noWrap w:val="0"/>
                  <w:vAlign w:val="center"/>
                </w:tcPr>
                <w:p w14:paraId="44A0E9C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膨胀水箱</w:t>
                  </w:r>
                </w:p>
              </w:tc>
              <w:tc>
                <w:tcPr>
                  <w:tcW w:w="1951" w:type="dxa"/>
                  <w:noWrap w:val="0"/>
                  <w:vAlign w:val="center"/>
                </w:tcPr>
                <w:p w14:paraId="399ECF1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1m³ 单层</w:t>
                  </w:r>
                </w:p>
              </w:tc>
              <w:tc>
                <w:tcPr>
                  <w:tcW w:w="701" w:type="dxa"/>
                  <w:noWrap w:val="0"/>
                  <w:vAlign w:val="center"/>
                </w:tcPr>
                <w:p w14:paraId="6B77342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台</w:t>
                  </w:r>
                </w:p>
              </w:tc>
              <w:tc>
                <w:tcPr>
                  <w:tcW w:w="714" w:type="dxa"/>
                  <w:noWrap w:val="0"/>
                  <w:vAlign w:val="center"/>
                </w:tcPr>
                <w:p w14:paraId="561A8C9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w:t>
                  </w:r>
                </w:p>
              </w:tc>
              <w:tc>
                <w:tcPr>
                  <w:tcW w:w="1845" w:type="dxa"/>
                  <w:noWrap w:val="0"/>
                  <w:vAlign w:val="center"/>
                </w:tcPr>
                <w:p w14:paraId="1992DFF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p>
              </w:tc>
            </w:tr>
            <w:tr w14:paraId="6451F5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670" w:hRule="atLeast"/>
                <w:jc w:val="center"/>
              </w:trPr>
              <w:tc>
                <w:tcPr>
                  <w:tcW w:w="615" w:type="dxa"/>
                  <w:noWrap w:val="0"/>
                  <w:vAlign w:val="center"/>
                </w:tcPr>
                <w:p w14:paraId="594C053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w:t>
                  </w:r>
                </w:p>
              </w:tc>
              <w:tc>
                <w:tcPr>
                  <w:tcW w:w="2232" w:type="dxa"/>
                  <w:shd w:val="clear" w:color="auto" w:fill="auto"/>
                  <w:noWrap w:val="0"/>
                  <w:vAlign w:val="center"/>
                </w:tcPr>
                <w:p w14:paraId="014F263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循环泵</w:t>
                  </w:r>
                </w:p>
              </w:tc>
              <w:tc>
                <w:tcPr>
                  <w:tcW w:w="1951" w:type="dxa"/>
                  <w:shd w:val="clear" w:color="auto" w:fill="auto"/>
                  <w:noWrap w:val="0"/>
                  <w:vAlign w:val="center"/>
                </w:tcPr>
                <w:p w14:paraId="42DA826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Q=150m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/h ，H=24m N=15KW</w:t>
                  </w:r>
                </w:p>
              </w:tc>
              <w:tc>
                <w:tcPr>
                  <w:tcW w:w="701" w:type="dxa"/>
                  <w:shd w:val="clear" w:color="auto" w:fill="auto"/>
                  <w:noWrap w:val="0"/>
                  <w:vAlign w:val="center"/>
                </w:tcPr>
                <w:p w14:paraId="5000A85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台</w:t>
                  </w:r>
                </w:p>
              </w:tc>
              <w:tc>
                <w:tcPr>
                  <w:tcW w:w="714" w:type="dxa"/>
                  <w:shd w:val="clear" w:color="auto" w:fill="auto"/>
                  <w:noWrap w:val="0"/>
                  <w:vAlign w:val="center"/>
                </w:tcPr>
                <w:p w14:paraId="31BE490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2</w:t>
                  </w:r>
                </w:p>
              </w:tc>
              <w:tc>
                <w:tcPr>
                  <w:tcW w:w="1845" w:type="dxa"/>
                  <w:noWrap w:val="0"/>
                  <w:vAlign w:val="center"/>
                </w:tcPr>
                <w:p w14:paraId="1700D0A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p>
              </w:tc>
            </w:tr>
            <w:tr w14:paraId="2DC545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670" w:hRule="atLeast"/>
                <w:jc w:val="center"/>
              </w:trPr>
              <w:tc>
                <w:tcPr>
                  <w:tcW w:w="615" w:type="dxa"/>
                  <w:noWrap w:val="0"/>
                  <w:vAlign w:val="center"/>
                </w:tcPr>
                <w:p w14:paraId="5C9E24D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7</w:t>
                  </w:r>
                </w:p>
              </w:tc>
              <w:tc>
                <w:tcPr>
                  <w:tcW w:w="2232" w:type="dxa"/>
                  <w:shd w:val="clear" w:color="auto" w:fill="auto"/>
                  <w:noWrap w:val="0"/>
                  <w:vAlign w:val="center"/>
                </w:tcPr>
                <w:p w14:paraId="4316CFE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补水泵</w:t>
                  </w:r>
                </w:p>
              </w:tc>
              <w:tc>
                <w:tcPr>
                  <w:tcW w:w="1951" w:type="dxa"/>
                  <w:shd w:val="clear" w:color="auto" w:fill="auto"/>
                  <w:noWrap w:val="0"/>
                  <w:vAlign w:val="center"/>
                </w:tcPr>
                <w:p w14:paraId="4C1CF6E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Q=12m³/h H=24m N=1.1KW</w:t>
                  </w:r>
                </w:p>
              </w:tc>
              <w:tc>
                <w:tcPr>
                  <w:tcW w:w="701" w:type="dxa"/>
                  <w:shd w:val="clear" w:color="auto" w:fill="auto"/>
                  <w:noWrap w:val="0"/>
                  <w:vAlign w:val="center"/>
                </w:tcPr>
                <w:p w14:paraId="5492181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台</w:t>
                  </w:r>
                </w:p>
              </w:tc>
              <w:tc>
                <w:tcPr>
                  <w:tcW w:w="714" w:type="dxa"/>
                  <w:shd w:val="clear" w:color="auto" w:fill="auto"/>
                  <w:noWrap w:val="0"/>
                  <w:vAlign w:val="center"/>
                </w:tcPr>
                <w:p w14:paraId="5741D22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2</w:t>
                  </w:r>
                </w:p>
              </w:tc>
              <w:tc>
                <w:tcPr>
                  <w:tcW w:w="1845" w:type="dxa"/>
                  <w:noWrap w:val="0"/>
                  <w:vAlign w:val="center"/>
                </w:tcPr>
                <w:p w14:paraId="4E56CEC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p>
              </w:tc>
            </w:tr>
            <w:tr w14:paraId="1CC458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65" w:hRule="atLeast"/>
                <w:jc w:val="center"/>
              </w:trPr>
              <w:tc>
                <w:tcPr>
                  <w:tcW w:w="615" w:type="dxa"/>
                  <w:noWrap w:val="0"/>
                  <w:vAlign w:val="center"/>
                </w:tcPr>
                <w:p w14:paraId="6318623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8</w:t>
                  </w:r>
                </w:p>
              </w:tc>
              <w:tc>
                <w:tcPr>
                  <w:tcW w:w="2232" w:type="dxa"/>
                  <w:shd w:val="clear" w:color="auto" w:fill="auto"/>
                  <w:noWrap w:val="0"/>
                  <w:vAlign w:val="center"/>
                </w:tcPr>
                <w:p w14:paraId="02F8336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辅机控制柜</w:t>
                  </w:r>
                </w:p>
              </w:tc>
              <w:tc>
                <w:tcPr>
                  <w:tcW w:w="1951" w:type="dxa"/>
                  <w:shd w:val="clear" w:color="auto" w:fill="auto"/>
                  <w:noWrap w:val="0"/>
                  <w:vAlign w:val="center"/>
                </w:tcPr>
                <w:p w14:paraId="64CE66C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配套</w:t>
                  </w:r>
                </w:p>
              </w:tc>
              <w:tc>
                <w:tcPr>
                  <w:tcW w:w="701" w:type="dxa"/>
                  <w:shd w:val="clear" w:color="auto" w:fill="auto"/>
                  <w:noWrap w:val="0"/>
                  <w:vAlign w:val="center"/>
                </w:tcPr>
                <w:p w14:paraId="3355C7F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套</w:t>
                  </w:r>
                </w:p>
              </w:tc>
              <w:tc>
                <w:tcPr>
                  <w:tcW w:w="714" w:type="dxa"/>
                  <w:shd w:val="clear" w:color="auto" w:fill="auto"/>
                  <w:noWrap w:val="0"/>
                  <w:vAlign w:val="center"/>
                </w:tcPr>
                <w:p w14:paraId="280229E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w:t>
                  </w:r>
                </w:p>
              </w:tc>
              <w:tc>
                <w:tcPr>
                  <w:tcW w:w="1845" w:type="dxa"/>
                  <w:noWrap w:val="0"/>
                  <w:vAlign w:val="center"/>
                </w:tcPr>
                <w:p w14:paraId="27FC1BA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p>
              </w:tc>
            </w:tr>
            <w:tr w14:paraId="473FCB2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670" w:hRule="atLeast"/>
                <w:jc w:val="center"/>
              </w:trPr>
              <w:tc>
                <w:tcPr>
                  <w:tcW w:w="615" w:type="dxa"/>
                  <w:noWrap w:val="0"/>
                  <w:vAlign w:val="center"/>
                </w:tcPr>
                <w:p w14:paraId="5079AEE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w:t>
                  </w:r>
                </w:p>
              </w:tc>
              <w:tc>
                <w:tcPr>
                  <w:tcW w:w="2232" w:type="dxa"/>
                  <w:shd w:val="clear" w:color="auto" w:fill="auto"/>
                  <w:noWrap w:val="0"/>
                  <w:vAlign w:val="center"/>
                </w:tcPr>
                <w:p w14:paraId="746829F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动力柜</w:t>
                  </w:r>
                </w:p>
              </w:tc>
              <w:tc>
                <w:tcPr>
                  <w:tcW w:w="1951" w:type="dxa"/>
                  <w:shd w:val="clear" w:color="auto" w:fill="auto"/>
                  <w:noWrap w:val="0"/>
                  <w:vAlign w:val="center"/>
                </w:tcPr>
                <w:p w14:paraId="2F9ED1E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配套</w:t>
                  </w:r>
                </w:p>
              </w:tc>
              <w:tc>
                <w:tcPr>
                  <w:tcW w:w="701" w:type="dxa"/>
                  <w:shd w:val="clear" w:color="auto" w:fill="auto"/>
                  <w:noWrap w:val="0"/>
                  <w:vAlign w:val="center"/>
                </w:tcPr>
                <w:p w14:paraId="6769D35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套</w:t>
                  </w:r>
                </w:p>
              </w:tc>
              <w:tc>
                <w:tcPr>
                  <w:tcW w:w="714" w:type="dxa"/>
                  <w:shd w:val="clear" w:color="auto" w:fill="auto"/>
                  <w:noWrap w:val="0"/>
                  <w:vAlign w:val="center"/>
                </w:tcPr>
                <w:p w14:paraId="3AD73CF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w:t>
                  </w:r>
                </w:p>
              </w:tc>
              <w:tc>
                <w:tcPr>
                  <w:tcW w:w="1845" w:type="dxa"/>
                  <w:shd w:val="clear" w:color="auto" w:fill="auto"/>
                  <w:noWrap w:val="0"/>
                  <w:vAlign w:val="center"/>
                </w:tcPr>
                <w:p w14:paraId="6E2E973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含水泵变频柜、燃烧器变频柜</w:t>
                  </w:r>
                </w:p>
              </w:tc>
            </w:tr>
            <w:tr w14:paraId="2CA2A4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365" w:hRule="atLeast"/>
                <w:jc w:val="center"/>
              </w:trPr>
              <w:tc>
                <w:tcPr>
                  <w:tcW w:w="615" w:type="dxa"/>
                  <w:noWrap w:val="0"/>
                  <w:vAlign w:val="center"/>
                </w:tcPr>
                <w:p w14:paraId="010D29C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w:t>
                  </w:r>
                </w:p>
              </w:tc>
              <w:tc>
                <w:tcPr>
                  <w:tcW w:w="2232" w:type="dxa"/>
                  <w:shd w:val="clear" w:color="auto" w:fill="auto"/>
                  <w:noWrap w:val="0"/>
                  <w:vAlign w:val="center"/>
                </w:tcPr>
                <w:p w14:paraId="7AE4A61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工控机电脑</w:t>
                  </w:r>
                </w:p>
              </w:tc>
              <w:tc>
                <w:tcPr>
                  <w:tcW w:w="1951" w:type="dxa"/>
                  <w:shd w:val="clear" w:color="auto" w:fill="auto"/>
                  <w:noWrap w:val="0"/>
                  <w:vAlign w:val="center"/>
                </w:tcPr>
                <w:p w14:paraId="0ED7155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配套</w:t>
                  </w:r>
                </w:p>
              </w:tc>
              <w:tc>
                <w:tcPr>
                  <w:tcW w:w="701" w:type="dxa"/>
                  <w:shd w:val="clear" w:color="auto" w:fill="auto"/>
                  <w:noWrap w:val="0"/>
                  <w:vAlign w:val="center"/>
                </w:tcPr>
                <w:p w14:paraId="5A88FCC2">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套</w:t>
                  </w:r>
                </w:p>
              </w:tc>
              <w:tc>
                <w:tcPr>
                  <w:tcW w:w="714" w:type="dxa"/>
                  <w:shd w:val="clear" w:color="auto" w:fill="auto"/>
                  <w:noWrap w:val="0"/>
                  <w:vAlign w:val="center"/>
                </w:tcPr>
                <w:p w14:paraId="47C769E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1</w:t>
                  </w:r>
                </w:p>
              </w:tc>
              <w:tc>
                <w:tcPr>
                  <w:tcW w:w="1845" w:type="dxa"/>
                  <w:noWrap w:val="0"/>
                  <w:vAlign w:val="center"/>
                </w:tcPr>
                <w:p w14:paraId="0153E89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lang w:val="en-US" w:eastAsia="zh-CN"/>
                    </w:rPr>
                  </w:pPr>
                </w:p>
              </w:tc>
            </w:tr>
            <w:tr w14:paraId="149C10F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57" w:type="dxa"/>
                  <w:bottom w:w="0" w:type="dxa"/>
                  <w:right w:w="57" w:type="dxa"/>
                </w:tblCellMar>
              </w:tblPrEx>
              <w:trPr>
                <w:trHeight w:val="2543" w:hRule="atLeast"/>
                <w:jc w:val="center"/>
              </w:trPr>
              <w:tc>
                <w:tcPr>
                  <w:tcW w:w="8058" w:type="dxa"/>
                  <w:gridSpan w:val="6"/>
                  <w:noWrap w:val="0"/>
                  <w:vAlign w:val="center"/>
                </w:tcPr>
                <w:p w14:paraId="23F526A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备注：1、设计热效率：≥95%（实测可达98%-99%，配冷凝器可＞99%）；</w:t>
                  </w:r>
                </w:p>
                <w:p w14:paraId="31D02E8D">
                  <w:pPr>
                    <w:pStyle w:val="87"/>
                    <w:keepNext w:val="0"/>
                    <w:keepLines w:val="0"/>
                    <w:pageBreakBefore w:val="0"/>
                    <w:widowControl w:val="0"/>
                    <w:numPr>
                      <w:ilvl w:val="0"/>
                      <w:numId w:val="4"/>
                    </w:numPr>
                    <w:kinsoku/>
                    <w:wordWrap/>
                    <w:overflowPunct/>
                    <w:topLinePunct w:val="0"/>
                    <w:autoSpaceDE/>
                    <w:autoSpaceDN/>
                    <w:bidi w:val="0"/>
                    <w:adjustRightInd/>
                    <w:snapToGrid/>
                    <w:spacing w:line="300" w:lineRule="exact"/>
                    <w:ind w:firstLine="630" w:firstLineChars="300"/>
                    <w:jc w:val="both"/>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锅炉结构：WNS卧式内燃、三回程湿背、波纹炉胆、螺纹烟管；</w:t>
                  </w:r>
                </w:p>
                <w:p w14:paraId="55A95C59">
                  <w:pPr>
                    <w:pStyle w:val="87"/>
                    <w:keepNext w:val="0"/>
                    <w:keepLines w:val="0"/>
                    <w:pageBreakBefore w:val="0"/>
                    <w:widowControl w:val="0"/>
                    <w:numPr>
                      <w:ilvl w:val="0"/>
                      <w:numId w:val="4"/>
                    </w:numPr>
                    <w:kinsoku/>
                    <w:wordWrap/>
                    <w:overflowPunct/>
                    <w:topLinePunct w:val="0"/>
                    <w:autoSpaceDE/>
                    <w:autoSpaceDN/>
                    <w:bidi w:val="0"/>
                    <w:adjustRightInd/>
                    <w:snapToGrid/>
                    <w:spacing w:line="300" w:lineRule="exact"/>
                    <w:ind w:firstLine="630" w:firstLineChars="3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设计工作压力：常压</w:t>
                  </w:r>
                  <w:r>
                    <w:rPr>
                      <w:rFonts w:hint="eastAsia" w:ascii="Times New Roman" w:hAnsi="Times New Roman" w:cs="Times New Roman"/>
                      <w:color w:val="auto"/>
                      <w:sz w:val="21"/>
                      <w:szCs w:val="21"/>
                      <w:lang w:val="en-US" w:eastAsia="zh-CN"/>
                    </w:rPr>
                    <w:t>；</w:t>
                  </w:r>
                </w:p>
                <w:p w14:paraId="3A72FFDE">
                  <w:pPr>
                    <w:pStyle w:val="87"/>
                    <w:keepNext w:val="0"/>
                    <w:keepLines w:val="0"/>
                    <w:pageBreakBefore w:val="0"/>
                    <w:widowControl w:val="0"/>
                    <w:numPr>
                      <w:ilvl w:val="0"/>
                      <w:numId w:val="4"/>
                    </w:numPr>
                    <w:kinsoku/>
                    <w:wordWrap/>
                    <w:overflowPunct/>
                    <w:topLinePunct w:val="0"/>
                    <w:autoSpaceDE/>
                    <w:autoSpaceDN/>
                    <w:bidi w:val="0"/>
                    <w:adjustRightInd/>
                    <w:snapToGrid/>
                    <w:spacing w:line="300" w:lineRule="exact"/>
                    <w:ind w:firstLine="630" w:firstLineChars="3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供气压力：1000–3000mmH₂O</w:t>
                  </w:r>
                  <w:r>
                    <w:rPr>
                      <w:rFonts w:hint="eastAsia" w:ascii="Times New Roman" w:hAnsi="Times New Roman" w:cs="Times New Roman"/>
                      <w:color w:val="auto"/>
                      <w:sz w:val="21"/>
                      <w:szCs w:val="21"/>
                      <w:lang w:val="en-US" w:eastAsia="zh-CN"/>
                    </w:rPr>
                    <w:t>；</w:t>
                  </w:r>
                </w:p>
                <w:p w14:paraId="724B7549">
                  <w:pPr>
                    <w:pStyle w:val="87"/>
                    <w:keepNext w:val="0"/>
                    <w:keepLines w:val="0"/>
                    <w:pageBreakBefore w:val="0"/>
                    <w:widowControl w:val="0"/>
                    <w:numPr>
                      <w:ilvl w:val="0"/>
                      <w:numId w:val="4"/>
                    </w:numPr>
                    <w:kinsoku/>
                    <w:wordWrap/>
                    <w:overflowPunct/>
                    <w:topLinePunct w:val="0"/>
                    <w:autoSpaceDE/>
                    <w:autoSpaceDN/>
                    <w:bidi w:val="0"/>
                    <w:adjustRightInd/>
                    <w:snapToGrid/>
                    <w:spacing w:line="300" w:lineRule="exact"/>
                    <w:ind w:firstLine="630" w:firstLineChars="3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水容积：约6.8m³</w:t>
                  </w:r>
                  <w:r>
                    <w:rPr>
                      <w:rFonts w:hint="eastAsia" w:ascii="Times New Roman" w:hAnsi="Times New Roman" w:cs="Times New Roman"/>
                      <w:color w:val="auto"/>
                      <w:sz w:val="21"/>
                      <w:szCs w:val="21"/>
                      <w:lang w:val="en-US" w:eastAsia="zh-CN"/>
                    </w:rPr>
                    <w:t>；</w:t>
                  </w:r>
                </w:p>
                <w:p w14:paraId="24A1FA63">
                  <w:pPr>
                    <w:pStyle w:val="87"/>
                    <w:keepNext w:val="0"/>
                    <w:keepLines w:val="0"/>
                    <w:pageBreakBefore w:val="0"/>
                    <w:widowControl w:val="0"/>
                    <w:numPr>
                      <w:ilvl w:val="0"/>
                      <w:numId w:val="4"/>
                    </w:numPr>
                    <w:kinsoku/>
                    <w:wordWrap/>
                    <w:overflowPunct/>
                    <w:topLinePunct w:val="0"/>
                    <w:autoSpaceDE/>
                    <w:autoSpaceDN/>
                    <w:bidi w:val="0"/>
                    <w:adjustRightInd/>
                    <w:snapToGrid/>
                    <w:spacing w:line="300" w:lineRule="exact"/>
                    <w:ind w:firstLine="630" w:firstLineChars="3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燃烧机：</w:t>
                  </w:r>
                  <w:bookmarkStart w:id="5" w:name="_Hlk224135683"/>
                  <w:r>
                    <w:rPr>
                      <w:rFonts w:hint="default" w:ascii="Times New Roman" w:hAnsi="Times New Roman" w:cs="Times New Roman"/>
                      <w:color w:val="auto"/>
                      <w:sz w:val="21"/>
                      <w:szCs w:val="21"/>
                      <w:lang w:val="en-US" w:eastAsia="zh-CN"/>
                    </w:rPr>
                    <w:t>最大功率5100K</w:t>
                  </w:r>
                  <w:bookmarkEnd w:id="5"/>
                  <w:r>
                    <w:rPr>
                      <w:rFonts w:hint="default" w:ascii="Times New Roman" w:hAnsi="Times New Roman" w:cs="Times New Roman"/>
                      <w:color w:val="auto"/>
                      <w:sz w:val="21"/>
                      <w:szCs w:val="21"/>
                      <w:lang w:val="en-US" w:eastAsia="zh-CN"/>
                    </w:rPr>
                    <w:t>W，最小功率600KW；采用常温助燃风；</w:t>
                  </w:r>
                </w:p>
                <w:p w14:paraId="08EFD376">
                  <w:pPr>
                    <w:pStyle w:val="87"/>
                    <w:keepNext w:val="0"/>
                    <w:keepLines w:val="0"/>
                    <w:pageBreakBefore w:val="0"/>
                    <w:widowControl w:val="0"/>
                    <w:numPr>
                      <w:ilvl w:val="0"/>
                      <w:numId w:val="4"/>
                    </w:numPr>
                    <w:kinsoku/>
                    <w:wordWrap/>
                    <w:overflowPunct/>
                    <w:topLinePunct w:val="0"/>
                    <w:autoSpaceDE/>
                    <w:autoSpaceDN/>
                    <w:bidi w:val="0"/>
                    <w:adjustRightInd/>
                    <w:snapToGrid/>
                    <w:spacing w:line="300" w:lineRule="exact"/>
                    <w:ind w:firstLine="630" w:firstLineChars="3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控制方式：全自动数字比例变频比例控制；</w:t>
                  </w:r>
                </w:p>
                <w:p w14:paraId="265A1828">
                  <w:pPr>
                    <w:pStyle w:val="87"/>
                    <w:keepNext w:val="0"/>
                    <w:keepLines w:val="0"/>
                    <w:pageBreakBefore w:val="0"/>
                    <w:widowControl w:val="0"/>
                    <w:numPr>
                      <w:ilvl w:val="0"/>
                      <w:numId w:val="4"/>
                    </w:numPr>
                    <w:kinsoku/>
                    <w:wordWrap/>
                    <w:overflowPunct/>
                    <w:topLinePunct w:val="0"/>
                    <w:autoSpaceDE/>
                    <w:autoSpaceDN/>
                    <w:bidi w:val="0"/>
                    <w:adjustRightInd/>
                    <w:snapToGrid/>
                    <w:spacing w:line="300" w:lineRule="exact"/>
                    <w:ind w:firstLine="630" w:firstLineChars="30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主燃料压力/热值：天然气：30-40Kpa；热值：8500 Kcal/Nm</w:t>
                  </w:r>
                  <w:r>
                    <w:rPr>
                      <w:rFonts w:hint="default" w:ascii="Times New Roman" w:hAnsi="Times New Roman" w:cs="Times New Roman"/>
                      <w:color w:val="auto"/>
                      <w:sz w:val="21"/>
                      <w:szCs w:val="21"/>
                      <w:vertAlign w:val="superscript"/>
                      <w:lang w:val="en-US" w:eastAsia="zh-CN"/>
                    </w:rPr>
                    <w:t>3</w:t>
                  </w:r>
                  <w:r>
                    <w:rPr>
                      <w:rFonts w:hint="eastAsia" w:ascii="Times New Roman" w:hAnsi="Times New Roman" w:cs="Times New Roman"/>
                      <w:color w:val="auto"/>
                      <w:sz w:val="21"/>
                      <w:szCs w:val="21"/>
                      <w:lang w:val="en-US" w:eastAsia="zh-CN"/>
                    </w:rPr>
                    <w:t>。</w:t>
                  </w:r>
                </w:p>
              </w:tc>
            </w:tr>
          </w:tbl>
          <w:p w14:paraId="6064F6FD">
            <w:pPr>
              <w:keepNext w:val="0"/>
              <w:keepLines w:val="0"/>
              <w:pageBreakBefore w:val="0"/>
              <w:widowControl w:val="0"/>
              <w:kinsoku/>
              <w:wordWrap/>
              <w:overflowPunct/>
              <w:topLinePunct w:val="0"/>
              <w:bidi w:val="0"/>
              <w:spacing w:line="480" w:lineRule="exact"/>
              <w:ind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2.</w:t>
            </w:r>
            <w:r>
              <w:rPr>
                <w:rFonts w:hint="eastAsia" w:cs="Times New Roman"/>
                <w:b/>
                <w:bCs w:val="0"/>
                <w:color w:val="auto"/>
                <w:spacing w:val="0"/>
                <w:sz w:val="24"/>
                <w:szCs w:val="24"/>
                <w:highlight w:val="none"/>
                <w:lang w:val="en-US" w:eastAsia="zh-CN"/>
              </w:rPr>
              <w:t xml:space="preserve">5 </w:t>
            </w:r>
            <w:r>
              <w:rPr>
                <w:rFonts w:hint="default" w:ascii="Times New Roman" w:hAnsi="Times New Roman" w:eastAsia="宋体" w:cs="Times New Roman"/>
                <w:b/>
                <w:bCs w:val="0"/>
                <w:color w:val="auto"/>
                <w:spacing w:val="0"/>
                <w:sz w:val="24"/>
                <w:szCs w:val="24"/>
                <w:highlight w:val="none"/>
                <w:lang w:val="en-US" w:eastAsia="zh-CN"/>
              </w:rPr>
              <w:t>劳动定员及工作制度</w:t>
            </w:r>
          </w:p>
          <w:p w14:paraId="4C16D568">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default" w:ascii="Times New Roman" w:hAnsi="Times New Roman" w:cs="Times New Roman"/>
                <w:bCs/>
                <w:color w:val="auto"/>
                <w:sz w:val="24"/>
                <w:szCs w:val="24"/>
                <w:highlight w:val="none"/>
              </w:rPr>
              <w:t>本项目</w:t>
            </w:r>
            <w:r>
              <w:rPr>
                <w:rFonts w:hint="eastAsia" w:cs="Times New Roman"/>
                <w:bCs/>
                <w:color w:val="auto"/>
                <w:sz w:val="24"/>
                <w:szCs w:val="24"/>
                <w:highlight w:val="none"/>
                <w:lang w:val="en-US" w:eastAsia="zh-CN"/>
              </w:rPr>
              <w:t>不新增劳动定员</w:t>
            </w:r>
            <w:r>
              <w:rPr>
                <w:rFonts w:hint="eastAsia" w:ascii="Times New Roman" w:hAnsi="Times New Roman" w:cs="Times New Roman"/>
                <w:bCs/>
                <w:color w:val="auto"/>
                <w:sz w:val="24"/>
                <w:szCs w:val="24"/>
                <w:highlight w:val="none"/>
                <w:lang w:val="en-US" w:eastAsia="zh-CN"/>
              </w:rPr>
              <w:t>。</w:t>
            </w:r>
            <w:r>
              <w:rPr>
                <w:rFonts w:hint="eastAsia" w:cs="Times New Roman"/>
                <w:bCs/>
                <w:color w:val="auto"/>
                <w:sz w:val="24"/>
                <w:szCs w:val="24"/>
                <w:highlight w:val="none"/>
                <w:lang w:val="en-US" w:eastAsia="zh-CN"/>
              </w:rPr>
              <w:t>本项目锅炉非采暖期运行，年运行210天</w:t>
            </w:r>
            <w:r>
              <w:rPr>
                <w:rFonts w:hint="eastAsia" w:ascii="Times New Roman" w:hAnsi="Times New Roman" w:cs="Times New Roman"/>
                <w:bCs/>
                <w:color w:val="auto"/>
                <w:sz w:val="24"/>
                <w:szCs w:val="24"/>
                <w:highlight w:val="none"/>
                <w:lang w:val="en-US" w:eastAsia="zh-CN"/>
              </w:rPr>
              <w:t>，</w:t>
            </w:r>
            <w:r>
              <w:rPr>
                <w:rFonts w:hint="eastAsia" w:cs="Times New Roman"/>
                <w:bCs/>
                <w:color w:val="auto"/>
                <w:sz w:val="24"/>
                <w:szCs w:val="24"/>
                <w:highlight w:val="none"/>
                <w:lang w:val="en-US" w:eastAsia="zh-CN"/>
              </w:rPr>
              <w:t>每天运行24h</w:t>
            </w:r>
            <w:r>
              <w:rPr>
                <w:rFonts w:hint="eastAsia" w:ascii="Times New Roman" w:hAnsi="Times New Roman" w:cs="Times New Roman"/>
                <w:bCs/>
                <w:color w:val="auto"/>
                <w:sz w:val="24"/>
                <w:szCs w:val="24"/>
                <w:highlight w:val="none"/>
                <w:lang w:val="en-US" w:eastAsia="zh-CN"/>
              </w:rPr>
              <w:t>。</w:t>
            </w:r>
          </w:p>
          <w:p w14:paraId="736874D6">
            <w:pPr>
              <w:keepNext w:val="0"/>
              <w:keepLines w:val="0"/>
              <w:pageBreakBefore w:val="0"/>
              <w:widowControl w:val="0"/>
              <w:kinsoku/>
              <w:wordWrap/>
              <w:overflowPunct/>
              <w:topLinePunct w:val="0"/>
              <w:bidi w:val="0"/>
              <w:spacing w:line="480" w:lineRule="exact"/>
              <w:ind w:firstLine="482" w:firstLineChars="200"/>
              <w:textAlignment w:val="auto"/>
              <w:rPr>
                <w:rFonts w:hint="default" w:ascii="Times New Roman" w:hAnsi="Times New Roman" w:eastAsia="宋体" w:cs="Times New Roman"/>
                <w:b/>
                <w:bCs w:val="0"/>
                <w:color w:val="auto"/>
                <w:spacing w:val="0"/>
                <w:sz w:val="24"/>
                <w:szCs w:val="24"/>
                <w:highlight w:val="none"/>
                <w:lang w:val="en-US" w:eastAsia="zh-CN"/>
              </w:rPr>
            </w:pPr>
            <w:r>
              <w:rPr>
                <w:rFonts w:hint="eastAsia" w:ascii="Times New Roman" w:hAnsi="Times New Roman" w:eastAsia="宋体" w:cs="Times New Roman"/>
                <w:b/>
                <w:bCs w:val="0"/>
                <w:color w:val="auto"/>
                <w:spacing w:val="0"/>
                <w:sz w:val="24"/>
                <w:szCs w:val="24"/>
                <w:highlight w:val="none"/>
                <w:lang w:val="en-US" w:eastAsia="zh-CN"/>
              </w:rPr>
              <w:t>2.</w:t>
            </w:r>
            <w:r>
              <w:rPr>
                <w:rFonts w:hint="eastAsia" w:cs="Times New Roman"/>
                <w:b/>
                <w:bCs w:val="0"/>
                <w:color w:val="auto"/>
                <w:spacing w:val="0"/>
                <w:sz w:val="24"/>
                <w:szCs w:val="24"/>
                <w:highlight w:val="none"/>
                <w:lang w:val="en-US" w:eastAsia="zh-CN"/>
              </w:rPr>
              <w:t>6</w:t>
            </w:r>
            <w:r>
              <w:rPr>
                <w:rFonts w:hint="eastAsia" w:ascii="Times New Roman" w:hAnsi="Times New Roman" w:eastAsia="宋体" w:cs="Times New Roman"/>
                <w:b/>
                <w:bCs w:val="0"/>
                <w:color w:val="auto"/>
                <w:spacing w:val="0"/>
                <w:sz w:val="24"/>
                <w:szCs w:val="24"/>
                <w:highlight w:val="none"/>
                <w:lang w:val="en-US" w:eastAsia="zh-CN"/>
              </w:rPr>
              <w:t xml:space="preserve"> </w:t>
            </w:r>
            <w:r>
              <w:rPr>
                <w:rFonts w:hint="default" w:ascii="Times New Roman" w:hAnsi="Times New Roman" w:eastAsia="宋体" w:cs="Times New Roman"/>
                <w:b/>
                <w:bCs w:val="0"/>
                <w:color w:val="auto"/>
                <w:spacing w:val="0"/>
                <w:sz w:val="24"/>
                <w:szCs w:val="24"/>
                <w:highlight w:val="none"/>
                <w:lang w:val="en-US" w:eastAsia="zh-CN"/>
              </w:rPr>
              <w:t>平面布置</w:t>
            </w:r>
          </w:p>
          <w:p w14:paraId="231B0A8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textAlignment w:val="auto"/>
              <w:rPr>
                <w:rFonts w:hint="default" w:ascii="Times New Roman" w:hAnsi="Times New Roman" w:eastAsia="宋体" w:cs="Times New Roman"/>
                <w:color w:val="auto"/>
                <w:spacing w:val="0"/>
                <w:sz w:val="24"/>
                <w:highlight w:val="none"/>
              </w:rPr>
            </w:pPr>
            <w:r>
              <w:rPr>
                <w:rFonts w:hint="default" w:ascii="Times New Roman" w:hAnsi="Times New Roman" w:cs="Times New Roman"/>
                <w:bCs/>
                <w:color w:val="auto"/>
                <w:sz w:val="24"/>
                <w:szCs w:val="24"/>
                <w:highlight w:val="none"/>
              </w:rPr>
              <w:t>本项目</w:t>
            </w:r>
            <w:r>
              <w:rPr>
                <w:rFonts w:hint="default" w:ascii="Times New Roman" w:hAnsi="Times New Roman" w:cs="Times New Roman"/>
                <w:bCs/>
                <w:color w:val="auto"/>
                <w:sz w:val="24"/>
                <w:szCs w:val="24"/>
                <w:highlight w:val="none"/>
                <w:lang w:val="en-US" w:eastAsia="zh-CN"/>
              </w:rPr>
              <w:t>在现有工业场地锅炉房</w:t>
            </w:r>
            <w:r>
              <w:rPr>
                <w:rFonts w:hint="eastAsia" w:cs="Times New Roman"/>
                <w:bCs/>
                <w:color w:val="auto"/>
                <w:sz w:val="24"/>
                <w:szCs w:val="24"/>
                <w:highlight w:val="none"/>
                <w:lang w:val="en-US" w:eastAsia="zh-CN"/>
              </w:rPr>
              <w:t>东侧空闲厂房</w:t>
            </w:r>
            <w:r>
              <w:rPr>
                <w:rFonts w:hint="default" w:ascii="Times New Roman" w:hAnsi="Times New Roman" w:cs="Times New Roman"/>
                <w:bCs/>
                <w:color w:val="auto"/>
                <w:sz w:val="24"/>
                <w:szCs w:val="24"/>
                <w:highlight w:val="none"/>
                <w:lang w:val="en-US" w:eastAsia="zh-CN"/>
              </w:rPr>
              <w:t>内，新建1台</w:t>
            </w:r>
            <w:r>
              <w:rPr>
                <w:rFonts w:hint="eastAsia" w:cs="Times New Roman"/>
                <w:bCs/>
                <w:color w:val="auto"/>
                <w:sz w:val="24"/>
                <w:szCs w:val="24"/>
                <w:highlight w:val="none"/>
                <w:lang w:val="en-US" w:eastAsia="zh-CN"/>
              </w:rPr>
              <w:t>3.5MW</w:t>
            </w:r>
            <w:r>
              <w:rPr>
                <w:rFonts w:hint="default" w:ascii="Times New Roman" w:hAnsi="Times New Roman" w:cs="Times New Roman"/>
                <w:bCs/>
                <w:color w:val="auto"/>
                <w:sz w:val="24"/>
                <w:szCs w:val="24"/>
                <w:highlight w:val="none"/>
                <w:lang w:val="en-US" w:eastAsia="zh-CN"/>
              </w:rPr>
              <w:t>燃气热水锅炉，</w:t>
            </w:r>
            <w:r>
              <w:rPr>
                <w:rFonts w:hint="eastAsia" w:cs="Times New Roman"/>
                <w:bCs/>
                <w:color w:val="auto"/>
                <w:sz w:val="24"/>
                <w:szCs w:val="24"/>
                <w:highlight w:val="none"/>
                <w:lang w:val="en-US" w:eastAsia="zh-CN"/>
              </w:rPr>
              <w:t>现有锅炉房位于工业场地中部，依托现有软化水制备设置位于锅炉房的西侧</w:t>
            </w:r>
            <w:r>
              <w:rPr>
                <w:rFonts w:hint="eastAsia"/>
                <w:bCs/>
                <w:color w:val="auto"/>
                <w:sz w:val="24"/>
                <w:highlight w:val="none"/>
              </w:rPr>
              <w:t>。</w:t>
            </w:r>
            <w:r>
              <w:rPr>
                <w:rFonts w:hint="default" w:ascii="Times New Roman" w:hAnsi="Times New Roman" w:eastAsia="宋体" w:cs="Times New Roman"/>
                <w:color w:val="auto"/>
                <w:spacing w:val="0"/>
                <w:sz w:val="24"/>
                <w:highlight w:val="none"/>
              </w:rPr>
              <w:t>平面布置图见附图。</w:t>
            </w:r>
          </w:p>
          <w:p w14:paraId="72039D53">
            <w:pPr>
              <w:keepNext w:val="0"/>
              <w:keepLines w:val="0"/>
              <w:pageBreakBefore w:val="0"/>
              <w:widowControl w:val="0"/>
              <w:kinsoku/>
              <w:wordWrap/>
              <w:overflowPunct/>
              <w:topLinePunct w:val="0"/>
              <w:autoSpaceDE w:val="0"/>
              <w:autoSpaceDN w:val="0"/>
              <w:bidi w:val="0"/>
              <w:spacing w:line="480" w:lineRule="exact"/>
              <w:ind w:firstLine="482" w:firstLineChars="200"/>
              <w:textAlignment w:val="auto"/>
              <w:rPr>
                <w:rFonts w:hint="default" w:ascii="Times New Roman" w:hAnsi="Times New Roman" w:eastAsia="宋体" w:cs="Times New Roman"/>
                <w:b/>
                <w:bCs/>
                <w:color w:val="auto"/>
                <w:spacing w:val="0"/>
                <w:sz w:val="24"/>
                <w:szCs w:val="24"/>
                <w:highlight w:val="none"/>
                <w:lang w:val="en-US" w:eastAsia="zh-CN"/>
              </w:rPr>
            </w:pPr>
            <w:r>
              <w:rPr>
                <w:rFonts w:hint="eastAsia" w:ascii="Times New Roman" w:hAnsi="Times New Roman" w:eastAsia="宋体" w:cs="Times New Roman"/>
                <w:b/>
                <w:bCs/>
                <w:color w:val="auto"/>
                <w:spacing w:val="0"/>
                <w:sz w:val="24"/>
                <w:szCs w:val="24"/>
                <w:highlight w:val="none"/>
                <w:lang w:val="en-US" w:eastAsia="zh-CN"/>
              </w:rPr>
              <w:t>2.</w:t>
            </w:r>
            <w:r>
              <w:rPr>
                <w:rFonts w:hint="eastAsia" w:cs="Times New Roman"/>
                <w:b/>
                <w:bCs/>
                <w:color w:val="auto"/>
                <w:spacing w:val="0"/>
                <w:sz w:val="24"/>
                <w:szCs w:val="24"/>
                <w:highlight w:val="none"/>
                <w:lang w:val="en-US" w:eastAsia="zh-CN"/>
              </w:rPr>
              <w:t>7</w:t>
            </w:r>
            <w:r>
              <w:rPr>
                <w:rFonts w:hint="eastAsia" w:ascii="Times New Roman" w:hAnsi="Times New Roman" w:eastAsia="宋体" w:cs="Times New Roman"/>
                <w:b/>
                <w:bCs/>
                <w:color w:val="auto"/>
                <w:spacing w:val="0"/>
                <w:sz w:val="24"/>
                <w:szCs w:val="24"/>
                <w:highlight w:val="none"/>
                <w:lang w:val="en-US" w:eastAsia="zh-CN"/>
              </w:rPr>
              <w:t xml:space="preserve"> </w:t>
            </w:r>
            <w:r>
              <w:rPr>
                <w:rFonts w:hint="default" w:ascii="Times New Roman" w:hAnsi="Times New Roman" w:eastAsia="宋体" w:cs="Times New Roman"/>
                <w:b/>
                <w:bCs/>
                <w:color w:val="auto"/>
                <w:spacing w:val="0"/>
                <w:sz w:val="24"/>
                <w:szCs w:val="24"/>
                <w:highlight w:val="none"/>
                <w:lang w:val="en-US" w:eastAsia="zh-CN"/>
              </w:rPr>
              <w:t>公用工程</w:t>
            </w:r>
          </w:p>
          <w:p w14:paraId="1524ABD0">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1.给排水</w:t>
            </w:r>
          </w:p>
          <w:p w14:paraId="73C6DDFC">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（1）</w:t>
            </w:r>
            <w:r>
              <w:rPr>
                <w:rFonts w:hint="default" w:ascii="Times New Roman" w:hAnsi="Times New Roman" w:eastAsia="宋体" w:cs="Times New Roman"/>
                <w:bCs/>
                <w:color w:val="auto"/>
                <w:spacing w:val="0"/>
                <w:sz w:val="24"/>
                <w:szCs w:val="24"/>
                <w:highlight w:val="none"/>
                <w:lang w:val="en-US" w:eastAsia="zh-CN"/>
              </w:rPr>
              <w:t>给水</w:t>
            </w:r>
          </w:p>
          <w:p w14:paraId="19268A0E">
            <w:pPr>
              <w:keepNext w:val="0"/>
              <w:keepLines w:val="0"/>
              <w:pageBreakBefore w:val="0"/>
              <w:widowControl w:val="0"/>
              <w:kinsoku/>
              <w:wordWrap/>
              <w:overflowPunct/>
              <w:topLinePunct w:val="0"/>
              <w:bidi w:val="0"/>
              <w:adjustRightInd w:val="0"/>
              <w:snapToGrid w:val="0"/>
              <w:spacing w:line="480" w:lineRule="exact"/>
              <w:ind w:left="0" w:leftChars="0" w:firstLine="480" w:firstLineChars="200"/>
              <w:jc w:val="both"/>
              <w:textAlignment w:val="auto"/>
              <w:rPr>
                <w:rFonts w:hint="default" w:ascii="Times New Roman" w:hAnsi="Times New Roman" w:eastAsia="宋体" w:cs="Times New Roman"/>
                <w:b w:val="0"/>
                <w:bCs w:val="0"/>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本项目用水主要为</w:t>
            </w:r>
            <w:r>
              <w:rPr>
                <w:rFonts w:hint="eastAsia" w:cs="Times New Roman"/>
                <w:bCs/>
                <w:color w:val="auto"/>
                <w:spacing w:val="0"/>
                <w:sz w:val="24"/>
                <w:szCs w:val="24"/>
                <w:highlight w:val="none"/>
                <w:lang w:val="en-US" w:eastAsia="zh-CN"/>
              </w:rPr>
              <w:t>软化水制备用水（锅炉补充水）。因软化处理后的水中仍含有盐离子，蒸发后生成盐浓度较高的锅炉水，易生成水垢，为保证锅炉的正常运行，需排出该部分锅炉水即锅炉排污水。</w:t>
            </w:r>
            <w:r>
              <w:rPr>
                <w:rFonts w:hint="eastAsia" w:cs="Times New Roman"/>
                <w:bCs/>
                <w:color w:val="auto"/>
                <w:sz w:val="24"/>
                <w:szCs w:val="24"/>
                <w:lang w:val="en-US" w:eastAsia="zh-CN"/>
              </w:rPr>
              <w:t>根据锅炉主要技术参数可知，锅炉循环水量为150m</w:t>
            </w:r>
            <w:r>
              <w:rPr>
                <w:rFonts w:hint="eastAsia" w:cs="Times New Roman"/>
                <w:bCs/>
                <w:color w:val="auto"/>
                <w:sz w:val="24"/>
                <w:szCs w:val="24"/>
                <w:vertAlign w:val="superscript"/>
                <w:lang w:val="en-US" w:eastAsia="zh-CN"/>
              </w:rPr>
              <w:t>3</w:t>
            </w:r>
            <w:r>
              <w:rPr>
                <w:rFonts w:hint="eastAsia" w:cs="Times New Roman"/>
                <w:bCs/>
                <w:color w:val="auto"/>
                <w:sz w:val="24"/>
                <w:szCs w:val="24"/>
                <w:lang w:val="en-US" w:eastAsia="zh-CN"/>
              </w:rPr>
              <w:t>/h，锅炉运行定期排污水按循环水量的1%计算，锅炉补水量为36m</w:t>
            </w:r>
            <w:r>
              <w:rPr>
                <w:rFonts w:hint="eastAsia" w:cs="Times New Roman"/>
                <w:bCs/>
                <w:color w:val="auto"/>
                <w:sz w:val="24"/>
                <w:szCs w:val="24"/>
                <w:vertAlign w:val="superscript"/>
                <w:lang w:val="en-US" w:eastAsia="zh-CN"/>
              </w:rPr>
              <w:t>3</w:t>
            </w:r>
            <w:r>
              <w:rPr>
                <w:rFonts w:hint="eastAsia" w:cs="Times New Roman"/>
                <w:bCs/>
                <w:color w:val="auto"/>
                <w:sz w:val="24"/>
                <w:szCs w:val="24"/>
                <w:lang w:val="en-US" w:eastAsia="zh-CN"/>
              </w:rPr>
              <w:t>/d</w:t>
            </w:r>
            <w:r>
              <w:rPr>
                <w:rFonts w:hint="eastAsia" w:cs="Times New Roman"/>
                <w:color w:val="auto"/>
                <w:spacing w:val="0"/>
                <w:sz w:val="24"/>
                <w:szCs w:val="24"/>
                <w:highlight w:val="none"/>
                <w:lang w:val="en-US" w:eastAsia="zh-CN"/>
              </w:rPr>
              <w:t>（7560m</w:t>
            </w:r>
            <w:r>
              <w:rPr>
                <w:rFonts w:hint="eastAsia" w:cs="Times New Roman"/>
                <w:color w:val="auto"/>
                <w:spacing w:val="0"/>
                <w:sz w:val="24"/>
                <w:szCs w:val="24"/>
                <w:highlight w:val="none"/>
                <w:vertAlign w:val="superscript"/>
                <w:lang w:val="en-US" w:eastAsia="zh-CN"/>
              </w:rPr>
              <w:t>3</w:t>
            </w:r>
            <w:r>
              <w:rPr>
                <w:rFonts w:hint="eastAsia" w:cs="Times New Roman"/>
                <w:color w:val="auto"/>
                <w:spacing w:val="0"/>
                <w:sz w:val="24"/>
                <w:szCs w:val="24"/>
                <w:highlight w:val="none"/>
                <w:lang w:val="en-US" w:eastAsia="zh-CN"/>
              </w:rPr>
              <w:t>/a）。根据建设单位提供资料，现有软水制备率约为75%，则软化水制备系统用水量为48</w:t>
            </w:r>
            <w:r>
              <w:rPr>
                <w:rFonts w:hint="eastAsia" w:cs="Times New Roman"/>
                <w:bCs/>
                <w:color w:val="auto"/>
                <w:sz w:val="24"/>
                <w:szCs w:val="24"/>
                <w:lang w:val="en-US" w:eastAsia="zh-CN"/>
              </w:rPr>
              <w:t>m</w:t>
            </w:r>
            <w:r>
              <w:rPr>
                <w:rFonts w:hint="eastAsia" w:cs="Times New Roman"/>
                <w:bCs/>
                <w:color w:val="auto"/>
                <w:sz w:val="24"/>
                <w:szCs w:val="24"/>
                <w:vertAlign w:val="superscript"/>
                <w:lang w:val="en-US" w:eastAsia="zh-CN"/>
              </w:rPr>
              <w:t>3</w:t>
            </w:r>
            <w:r>
              <w:rPr>
                <w:rFonts w:hint="eastAsia" w:cs="Times New Roman"/>
                <w:bCs/>
                <w:color w:val="auto"/>
                <w:sz w:val="24"/>
                <w:szCs w:val="24"/>
                <w:lang w:val="en-US" w:eastAsia="zh-CN"/>
              </w:rPr>
              <w:t>/d</w:t>
            </w:r>
            <w:r>
              <w:rPr>
                <w:rFonts w:hint="eastAsia" w:cs="Times New Roman"/>
                <w:color w:val="auto"/>
                <w:spacing w:val="0"/>
                <w:sz w:val="24"/>
                <w:szCs w:val="24"/>
                <w:highlight w:val="none"/>
                <w:lang w:val="en-US" w:eastAsia="zh-CN"/>
              </w:rPr>
              <w:t>（10080m</w:t>
            </w:r>
            <w:r>
              <w:rPr>
                <w:rFonts w:hint="eastAsia" w:cs="Times New Roman"/>
                <w:color w:val="auto"/>
                <w:spacing w:val="0"/>
                <w:sz w:val="24"/>
                <w:szCs w:val="24"/>
                <w:highlight w:val="none"/>
                <w:vertAlign w:val="superscript"/>
                <w:lang w:val="en-US" w:eastAsia="zh-CN"/>
              </w:rPr>
              <w:t>3</w:t>
            </w:r>
            <w:r>
              <w:rPr>
                <w:rFonts w:hint="eastAsia" w:cs="Times New Roman"/>
                <w:color w:val="auto"/>
                <w:spacing w:val="0"/>
                <w:sz w:val="24"/>
                <w:szCs w:val="24"/>
                <w:highlight w:val="none"/>
                <w:lang w:val="en-US" w:eastAsia="zh-CN"/>
              </w:rPr>
              <w:t>/a）。</w:t>
            </w:r>
          </w:p>
          <w:p w14:paraId="09DD570F">
            <w:pPr>
              <w:keepNext w:val="0"/>
              <w:keepLines w:val="0"/>
              <w:pageBreakBefore w:val="0"/>
              <w:widowControl w:val="0"/>
              <w:kinsoku/>
              <w:wordWrap/>
              <w:overflowPunct/>
              <w:topLinePunct w:val="0"/>
              <w:bidi w:val="0"/>
              <w:spacing w:line="480" w:lineRule="exact"/>
              <w:ind w:firstLine="480" w:firstLineChars="200"/>
              <w:textAlignment w:val="auto"/>
              <w:rPr>
                <w:rFonts w:hint="default"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依托现有工程4套20m</w:t>
            </w:r>
            <w:r>
              <w:rPr>
                <w:rFonts w:hint="eastAsia" w:cs="Times New Roman"/>
                <w:bCs/>
                <w:color w:val="auto"/>
                <w:spacing w:val="0"/>
                <w:sz w:val="24"/>
                <w:szCs w:val="24"/>
                <w:highlight w:val="none"/>
                <w:vertAlign w:val="superscript"/>
                <w:lang w:val="en-US" w:eastAsia="zh-CN"/>
              </w:rPr>
              <w:t>3</w:t>
            </w:r>
            <w:r>
              <w:rPr>
                <w:rFonts w:hint="eastAsia" w:cs="Times New Roman"/>
                <w:bCs/>
                <w:color w:val="auto"/>
                <w:spacing w:val="0"/>
                <w:sz w:val="24"/>
                <w:szCs w:val="24"/>
                <w:highlight w:val="none"/>
                <w:lang w:val="en-US" w:eastAsia="zh-CN"/>
              </w:rPr>
              <w:t>/h软化水制备系统（2用2备）供给，现有工程4台燃气锅炉采暖期运行，本项目锅炉非采暖期运行，现有软化水制备系统可满足本项目使用。</w:t>
            </w:r>
          </w:p>
          <w:p w14:paraId="2F2A224A">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2）排水</w:t>
            </w:r>
          </w:p>
          <w:p w14:paraId="7B095754">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eastAsia" w:cs="Times New Roman"/>
                <w:color w:val="auto"/>
                <w:spacing w:val="0"/>
                <w:sz w:val="24"/>
                <w:szCs w:val="24"/>
                <w:highlight w:val="none"/>
                <w:lang w:val="en-US" w:eastAsia="zh-CN"/>
              </w:rPr>
            </w:pPr>
            <w:r>
              <w:rPr>
                <w:rFonts w:hint="eastAsia" w:cs="Times New Roman"/>
                <w:color w:val="auto"/>
                <w:spacing w:val="0"/>
                <w:sz w:val="24"/>
                <w:szCs w:val="24"/>
                <w:highlight w:val="none"/>
                <w:lang w:val="en-US" w:eastAsia="zh-CN"/>
              </w:rPr>
              <w:t>本项目排水主要为锅炉排污水和软化水系统排水，经现有污水管道收集进入现有矿井水处理站进行处理后，优先回用。</w:t>
            </w:r>
          </w:p>
          <w:p w14:paraId="5B753765">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eastAsia" w:cs="Times New Roman"/>
                <w:color w:val="auto"/>
                <w:spacing w:val="0"/>
                <w:sz w:val="24"/>
                <w:szCs w:val="24"/>
                <w:highlight w:val="none"/>
                <w:lang w:val="en-US" w:eastAsia="zh-CN"/>
              </w:rPr>
            </w:pPr>
            <w:r>
              <w:rPr>
                <w:rFonts w:hint="eastAsia" w:cs="Times New Roman"/>
                <w:color w:val="auto"/>
                <w:spacing w:val="0"/>
                <w:sz w:val="24"/>
                <w:szCs w:val="24"/>
                <w:highlight w:val="none"/>
                <w:lang w:val="en-US" w:eastAsia="zh-CN"/>
              </w:rPr>
              <w:t>①锅炉排污水：按循环水量的1%计算，则锅炉排污水量为36m</w:t>
            </w:r>
            <w:r>
              <w:rPr>
                <w:rFonts w:hint="eastAsia" w:cs="Times New Roman"/>
                <w:color w:val="auto"/>
                <w:spacing w:val="0"/>
                <w:sz w:val="24"/>
                <w:szCs w:val="24"/>
                <w:highlight w:val="none"/>
                <w:vertAlign w:val="superscript"/>
                <w:lang w:val="en-US" w:eastAsia="zh-CN"/>
              </w:rPr>
              <w:t>3</w:t>
            </w:r>
            <w:r>
              <w:rPr>
                <w:rFonts w:hint="eastAsia" w:cs="Times New Roman"/>
                <w:color w:val="auto"/>
                <w:spacing w:val="0"/>
                <w:sz w:val="24"/>
                <w:szCs w:val="24"/>
                <w:highlight w:val="none"/>
                <w:lang w:val="en-US" w:eastAsia="zh-CN"/>
              </w:rPr>
              <w:t>/d（7560m</w:t>
            </w:r>
            <w:r>
              <w:rPr>
                <w:rFonts w:hint="eastAsia" w:cs="Times New Roman"/>
                <w:color w:val="auto"/>
                <w:spacing w:val="0"/>
                <w:sz w:val="24"/>
                <w:szCs w:val="24"/>
                <w:highlight w:val="none"/>
                <w:vertAlign w:val="superscript"/>
                <w:lang w:val="en-US" w:eastAsia="zh-CN"/>
              </w:rPr>
              <w:t>3</w:t>
            </w:r>
            <w:r>
              <w:rPr>
                <w:rFonts w:hint="eastAsia" w:cs="Times New Roman"/>
                <w:color w:val="auto"/>
                <w:spacing w:val="0"/>
                <w:sz w:val="24"/>
                <w:szCs w:val="24"/>
                <w:highlight w:val="none"/>
                <w:lang w:val="en-US" w:eastAsia="zh-CN"/>
              </w:rPr>
              <w:t>/a）。</w:t>
            </w:r>
          </w:p>
          <w:p w14:paraId="28545BFC">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color w:val="auto"/>
                <w:spacing w:val="0"/>
                <w:sz w:val="24"/>
                <w:szCs w:val="24"/>
                <w:highlight w:val="none"/>
                <w:lang w:val="en-US" w:eastAsia="zh-CN"/>
              </w:rPr>
            </w:pPr>
            <w:r>
              <w:rPr>
                <w:rFonts w:hint="eastAsia" w:cs="Times New Roman"/>
                <w:color w:val="auto"/>
                <w:spacing w:val="0"/>
                <w:sz w:val="24"/>
                <w:szCs w:val="24"/>
                <w:highlight w:val="none"/>
                <w:lang w:val="en-US" w:eastAsia="zh-CN"/>
              </w:rPr>
              <w:t>②软化水系统排水：根据建设单位提供资料，现有软水制备率约为75%，则排水量为12m</w:t>
            </w:r>
            <w:r>
              <w:rPr>
                <w:rFonts w:hint="eastAsia" w:cs="Times New Roman"/>
                <w:color w:val="auto"/>
                <w:spacing w:val="0"/>
                <w:sz w:val="24"/>
                <w:szCs w:val="24"/>
                <w:highlight w:val="none"/>
                <w:vertAlign w:val="superscript"/>
                <w:lang w:val="en-US" w:eastAsia="zh-CN"/>
              </w:rPr>
              <w:t>3</w:t>
            </w:r>
            <w:r>
              <w:rPr>
                <w:rFonts w:hint="eastAsia" w:cs="Times New Roman"/>
                <w:color w:val="auto"/>
                <w:spacing w:val="0"/>
                <w:sz w:val="24"/>
                <w:szCs w:val="24"/>
                <w:highlight w:val="none"/>
                <w:lang w:val="en-US" w:eastAsia="zh-CN"/>
              </w:rPr>
              <w:t>/d（2520m</w:t>
            </w:r>
            <w:r>
              <w:rPr>
                <w:rFonts w:hint="eastAsia" w:cs="Times New Roman"/>
                <w:color w:val="auto"/>
                <w:spacing w:val="0"/>
                <w:sz w:val="24"/>
                <w:szCs w:val="24"/>
                <w:highlight w:val="none"/>
                <w:vertAlign w:val="superscript"/>
                <w:lang w:val="en-US" w:eastAsia="zh-CN"/>
              </w:rPr>
              <w:t>3</w:t>
            </w:r>
            <w:r>
              <w:rPr>
                <w:rFonts w:hint="eastAsia" w:cs="Times New Roman"/>
                <w:color w:val="auto"/>
                <w:spacing w:val="0"/>
                <w:sz w:val="24"/>
                <w:szCs w:val="24"/>
                <w:highlight w:val="none"/>
                <w:lang w:val="en-US" w:eastAsia="zh-CN"/>
              </w:rPr>
              <w:t>/a）。</w:t>
            </w:r>
          </w:p>
          <w:p w14:paraId="3547168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eastAsia" w:ascii="Times New Roman" w:hAnsi="Times New Roman" w:eastAsia="宋体" w:cs="Times New Roman"/>
                <w:bCs/>
                <w:color w:val="auto"/>
                <w:spacing w:val="0"/>
                <w:sz w:val="24"/>
                <w:szCs w:val="24"/>
                <w:highlight w:val="none"/>
                <w:lang w:val="en-US" w:eastAsia="zh-CN"/>
              </w:rPr>
              <w:t>本项目</w:t>
            </w:r>
            <w:r>
              <w:rPr>
                <w:rFonts w:hint="default" w:ascii="Times New Roman" w:hAnsi="Times New Roman" w:eastAsia="宋体" w:cs="Times New Roman"/>
                <w:bCs/>
                <w:color w:val="auto"/>
                <w:spacing w:val="0"/>
                <w:sz w:val="24"/>
                <w:szCs w:val="24"/>
                <w:highlight w:val="none"/>
                <w:lang w:val="en-US" w:eastAsia="zh-CN"/>
              </w:rPr>
              <w:t>水平衡分析见</w:t>
            </w:r>
            <w:r>
              <w:rPr>
                <w:rFonts w:hint="eastAsia" w:cs="Times New Roman"/>
                <w:bCs/>
                <w:color w:val="auto"/>
                <w:spacing w:val="0"/>
                <w:sz w:val="24"/>
                <w:szCs w:val="24"/>
                <w:highlight w:val="none"/>
                <w:lang w:val="en-US" w:eastAsia="zh-CN"/>
              </w:rPr>
              <w:t>下</w:t>
            </w:r>
            <w:r>
              <w:rPr>
                <w:rFonts w:hint="default" w:ascii="Times New Roman" w:hAnsi="Times New Roman" w:eastAsia="宋体" w:cs="Times New Roman"/>
                <w:bCs/>
                <w:color w:val="auto"/>
                <w:spacing w:val="0"/>
                <w:sz w:val="24"/>
                <w:szCs w:val="24"/>
                <w:highlight w:val="none"/>
                <w:lang w:val="en-US" w:eastAsia="zh-CN"/>
              </w:rPr>
              <w:t>表。</w:t>
            </w:r>
          </w:p>
          <w:p w14:paraId="5DE77430">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center"/>
              <w:textAlignment w:val="baseline"/>
              <w:rPr>
                <w:rFonts w:hint="default" w:ascii="Times New Roman" w:hAnsi="Times New Roman" w:eastAsia="黑体" w:cs="Times New Roman"/>
                <w:iCs/>
                <w:snapToGrid w:val="0"/>
                <w:color w:val="auto"/>
                <w:spacing w:val="0"/>
                <w:kern w:val="0"/>
                <w:sz w:val="21"/>
                <w:szCs w:val="20"/>
                <w:highlight w:val="none"/>
                <w:lang w:val="en-US" w:eastAsia="zh-CN" w:bidi="ar-SA"/>
              </w:rPr>
            </w:pPr>
            <w:r>
              <w:rPr>
                <w:rFonts w:hint="default" w:ascii="Times New Roman" w:hAnsi="Times New Roman" w:eastAsia="黑体" w:cs="Times New Roman"/>
                <w:iCs/>
                <w:snapToGrid w:val="0"/>
                <w:color w:val="auto"/>
                <w:spacing w:val="0"/>
                <w:kern w:val="0"/>
                <w:sz w:val="21"/>
                <w:szCs w:val="20"/>
                <w:highlight w:val="none"/>
                <w:lang w:val="en-US" w:eastAsia="zh-CN" w:bidi="ar-SA"/>
              </w:rPr>
              <w:t>表</w:t>
            </w:r>
            <w:r>
              <w:rPr>
                <w:rFonts w:hint="eastAsia" w:eastAsia="黑体" w:cs="Times New Roman"/>
                <w:iCs/>
                <w:snapToGrid w:val="0"/>
                <w:color w:val="auto"/>
                <w:spacing w:val="0"/>
                <w:kern w:val="0"/>
                <w:sz w:val="21"/>
                <w:szCs w:val="20"/>
                <w:highlight w:val="none"/>
                <w:lang w:val="en-US" w:eastAsia="zh-CN" w:bidi="ar-SA"/>
              </w:rPr>
              <w:t>2.7-1</w:t>
            </w:r>
            <w:r>
              <w:rPr>
                <w:rFonts w:hint="default" w:ascii="Times New Roman" w:hAnsi="Times New Roman" w:eastAsia="黑体" w:cs="Times New Roman"/>
                <w:iCs/>
                <w:snapToGrid w:val="0"/>
                <w:color w:val="auto"/>
                <w:spacing w:val="0"/>
                <w:kern w:val="0"/>
                <w:sz w:val="21"/>
                <w:szCs w:val="20"/>
                <w:highlight w:val="none"/>
                <w:lang w:val="en-US" w:eastAsia="zh-CN" w:bidi="ar-SA"/>
              </w:rPr>
              <w:t xml:space="preserve"> </w:t>
            </w:r>
            <w:r>
              <w:rPr>
                <w:rFonts w:hint="eastAsia" w:eastAsia="黑体" w:cs="Times New Roman"/>
                <w:iCs/>
                <w:snapToGrid w:val="0"/>
                <w:color w:val="auto"/>
                <w:spacing w:val="0"/>
                <w:kern w:val="0"/>
                <w:sz w:val="21"/>
                <w:szCs w:val="20"/>
                <w:highlight w:val="none"/>
                <w:lang w:val="en-US" w:eastAsia="zh-CN" w:bidi="ar-SA"/>
              </w:rPr>
              <w:t xml:space="preserve"> </w:t>
            </w:r>
            <w:r>
              <w:rPr>
                <w:rFonts w:hint="default" w:ascii="Times New Roman" w:hAnsi="Times New Roman" w:eastAsia="黑体" w:cs="Times New Roman"/>
                <w:iCs/>
                <w:snapToGrid w:val="0"/>
                <w:color w:val="auto"/>
                <w:spacing w:val="0"/>
                <w:kern w:val="0"/>
                <w:sz w:val="21"/>
                <w:szCs w:val="20"/>
                <w:highlight w:val="none"/>
                <w:lang w:val="en-US" w:eastAsia="zh-CN" w:bidi="ar-SA"/>
              </w:rPr>
              <w:t>水平衡分析</w:t>
            </w:r>
          </w:p>
          <w:tbl>
            <w:tblPr>
              <w:tblStyle w:val="24"/>
              <w:tblW w:w="7957" w:type="dxa"/>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1351"/>
              <w:gridCol w:w="2069"/>
              <w:gridCol w:w="1157"/>
              <w:gridCol w:w="1221"/>
              <w:gridCol w:w="1072"/>
              <w:gridCol w:w="1087"/>
            </w:tblGrid>
            <w:tr w14:paraId="352448C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89" w:hRule="atLeast"/>
                <w:jc w:val="center"/>
              </w:trPr>
              <w:tc>
                <w:tcPr>
                  <w:tcW w:w="1351" w:type="dxa"/>
                  <w:vMerge w:val="restart"/>
                  <w:vAlign w:val="center"/>
                </w:tcPr>
                <w:p w14:paraId="691CB16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用水类型</w:t>
                  </w:r>
                </w:p>
              </w:tc>
              <w:tc>
                <w:tcPr>
                  <w:tcW w:w="2069" w:type="dxa"/>
                  <w:vMerge w:val="restart"/>
                  <w:vAlign w:val="center"/>
                </w:tcPr>
                <w:p w14:paraId="7C50166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用水量指标</w:t>
                  </w:r>
                </w:p>
              </w:tc>
              <w:tc>
                <w:tcPr>
                  <w:tcW w:w="2378" w:type="dxa"/>
                  <w:gridSpan w:val="2"/>
                  <w:vAlign w:val="center"/>
                </w:tcPr>
                <w:p w14:paraId="33CED2A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用水量（m</w:t>
                  </w:r>
                  <w:r>
                    <w:rPr>
                      <w:rFonts w:hint="default" w:ascii="Times New Roman" w:hAnsi="Times New Roman" w:eastAsia="宋体" w:cs="Times New Roman"/>
                      <w:color w:val="auto"/>
                      <w:szCs w:val="21"/>
                      <w:highlight w:val="none"/>
                      <w:vertAlign w:val="superscript"/>
                    </w:rPr>
                    <w:t>3</w:t>
                  </w:r>
                  <w:r>
                    <w:rPr>
                      <w:rFonts w:hint="default" w:ascii="Times New Roman" w:hAnsi="Times New Roman" w:eastAsia="宋体" w:cs="Times New Roman"/>
                      <w:color w:val="auto"/>
                      <w:szCs w:val="21"/>
                      <w:highlight w:val="none"/>
                    </w:rPr>
                    <w:t>）</w:t>
                  </w:r>
                </w:p>
              </w:tc>
              <w:tc>
                <w:tcPr>
                  <w:tcW w:w="2159" w:type="dxa"/>
                  <w:gridSpan w:val="2"/>
                  <w:vAlign w:val="center"/>
                </w:tcPr>
                <w:p w14:paraId="7A9D39C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eastAsia" w:cs="Times New Roman"/>
                      <w:color w:val="auto"/>
                      <w:szCs w:val="21"/>
                      <w:highlight w:val="none"/>
                      <w:lang w:val="en-US" w:eastAsia="zh-CN"/>
                    </w:rPr>
                    <w:t>废水</w:t>
                  </w:r>
                  <w:r>
                    <w:rPr>
                      <w:rFonts w:hint="default" w:ascii="Times New Roman" w:hAnsi="Times New Roman" w:eastAsia="宋体" w:cs="Times New Roman"/>
                      <w:color w:val="auto"/>
                      <w:szCs w:val="21"/>
                      <w:highlight w:val="none"/>
                    </w:rPr>
                    <w:t>量（m</w:t>
                  </w:r>
                  <w:r>
                    <w:rPr>
                      <w:rFonts w:hint="default" w:ascii="Times New Roman" w:hAnsi="Times New Roman" w:eastAsia="宋体" w:cs="Times New Roman"/>
                      <w:color w:val="auto"/>
                      <w:szCs w:val="21"/>
                      <w:highlight w:val="none"/>
                      <w:vertAlign w:val="superscript"/>
                    </w:rPr>
                    <w:t>3</w:t>
                  </w:r>
                  <w:r>
                    <w:rPr>
                      <w:rFonts w:hint="default" w:ascii="Times New Roman" w:hAnsi="Times New Roman" w:eastAsia="宋体" w:cs="Times New Roman"/>
                      <w:color w:val="auto"/>
                      <w:szCs w:val="21"/>
                      <w:highlight w:val="none"/>
                    </w:rPr>
                    <w:t>）</w:t>
                  </w:r>
                </w:p>
              </w:tc>
            </w:tr>
            <w:tr w14:paraId="0B0ED1F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83" w:hRule="atLeast"/>
                <w:jc w:val="center"/>
              </w:trPr>
              <w:tc>
                <w:tcPr>
                  <w:tcW w:w="1351" w:type="dxa"/>
                  <w:vMerge w:val="continue"/>
                  <w:vAlign w:val="center"/>
                </w:tcPr>
                <w:p w14:paraId="4034856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p>
              </w:tc>
              <w:tc>
                <w:tcPr>
                  <w:tcW w:w="2069" w:type="dxa"/>
                  <w:vMerge w:val="continue"/>
                  <w:vAlign w:val="center"/>
                </w:tcPr>
                <w:p w14:paraId="350A7A4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p>
              </w:tc>
              <w:tc>
                <w:tcPr>
                  <w:tcW w:w="1157" w:type="dxa"/>
                  <w:vAlign w:val="center"/>
                </w:tcPr>
                <w:p w14:paraId="3EF8342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日用水量</w:t>
                  </w:r>
                </w:p>
              </w:tc>
              <w:tc>
                <w:tcPr>
                  <w:tcW w:w="1221" w:type="dxa"/>
                  <w:vAlign w:val="center"/>
                </w:tcPr>
                <w:p w14:paraId="26E89FB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年用水量</w:t>
                  </w:r>
                </w:p>
              </w:tc>
              <w:tc>
                <w:tcPr>
                  <w:tcW w:w="1072" w:type="dxa"/>
                  <w:vAlign w:val="center"/>
                </w:tcPr>
                <w:p w14:paraId="258A9D8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日产生量</w:t>
                  </w:r>
                </w:p>
              </w:tc>
              <w:tc>
                <w:tcPr>
                  <w:tcW w:w="1087" w:type="dxa"/>
                  <w:vAlign w:val="center"/>
                </w:tcPr>
                <w:p w14:paraId="5564BF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年产生量</w:t>
                  </w:r>
                </w:p>
              </w:tc>
            </w:tr>
            <w:tr w14:paraId="6A4CF7D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10" w:hRule="atLeast"/>
                <w:jc w:val="center"/>
              </w:trPr>
              <w:tc>
                <w:tcPr>
                  <w:tcW w:w="1351" w:type="dxa"/>
                  <w:vAlign w:val="center"/>
                </w:tcPr>
                <w:p w14:paraId="5F4A9A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软化水制备用水</w:t>
                  </w:r>
                </w:p>
              </w:tc>
              <w:tc>
                <w:tcPr>
                  <w:tcW w:w="2069" w:type="dxa"/>
                  <w:vAlign w:val="center"/>
                </w:tcPr>
                <w:p w14:paraId="4C3046C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制备率约为75%</w:t>
                  </w:r>
                </w:p>
              </w:tc>
              <w:tc>
                <w:tcPr>
                  <w:tcW w:w="1157" w:type="dxa"/>
                  <w:vAlign w:val="center"/>
                </w:tcPr>
                <w:p w14:paraId="31804EB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48</w:t>
                  </w:r>
                </w:p>
              </w:tc>
              <w:tc>
                <w:tcPr>
                  <w:tcW w:w="1221" w:type="dxa"/>
                  <w:vAlign w:val="center"/>
                </w:tcPr>
                <w:p w14:paraId="4D78D62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10080</w:t>
                  </w:r>
                </w:p>
              </w:tc>
              <w:tc>
                <w:tcPr>
                  <w:tcW w:w="1072" w:type="dxa"/>
                  <w:vAlign w:val="center"/>
                </w:tcPr>
                <w:p w14:paraId="1A78407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12</w:t>
                  </w:r>
                </w:p>
              </w:tc>
              <w:tc>
                <w:tcPr>
                  <w:tcW w:w="1087" w:type="dxa"/>
                  <w:vAlign w:val="center"/>
                </w:tcPr>
                <w:p w14:paraId="7F95187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2520</w:t>
                  </w:r>
                </w:p>
              </w:tc>
            </w:tr>
            <w:tr w14:paraId="54EA7B0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83" w:hRule="atLeast"/>
                <w:jc w:val="center"/>
              </w:trPr>
              <w:tc>
                <w:tcPr>
                  <w:tcW w:w="1351" w:type="dxa"/>
                  <w:vAlign w:val="center"/>
                </w:tcPr>
                <w:p w14:paraId="1820A4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锅炉补充水</w:t>
                  </w:r>
                </w:p>
              </w:tc>
              <w:tc>
                <w:tcPr>
                  <w:tcW w:w="2069" w:type="dxa"/>
                  <w:vAlign w:val="center"/>
                </w:tcPr>
                <w:p w14:paraId="631E42C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循环水量的1%</w:t>
                  </w:r>
                </w:p>
              </w:tc>
              <w:tc>
                <w:tcPr>
                  <w:tcW w:w="1157" w:type="dxa"/>
                  <w:vAlign w:val="center"/>
                </w:tcPr>
                <w:p w14:paraId="7E4670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w:t>
                  </w:r>
                </w:p>
              </w:tc>
              <w:tc>
                <w:tcPr>
                  <w:tcW w:w="1221" w:type="dxa"/>
                  <w:vAlign w:val="center"/>
                </w:tcPr>
                <w:p w14:paraId="1E5BF9F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w:t>
                  </w:r>
                </w:p>
              </w:tc>
              <w:tc>
                <w:tcPr>
                  <w:tcW w:w="1072" w:type="dxa"/>
                  <w:vAlign w:val="center"/>
                </w:tcPr>
                <w:p w14:paraId="693FEF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36</w:t>
                  </w:r>
                </w:p>
              </w:tc>
              <w:tc>
                <w:tcPr>
                  <w:tcW w:w="1087" w:type="dxa"/>
                  <w:vAlign w:val="center"/>
                </w:tcPr>
                <w:p w14:paraId="78D55A9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cs="Times New Roman"/>
                      <w:color w:val="auto"/>
                      <w:szCs w:val="21"/>
                      <w:highlight w:val="none"/>
                      <w:lang w:val="en-US" w:eastAsia="zh-CN"/>
                    </w:rPr>
                  </w:pPr>
                  <w:r>
                    <w:rPr>
                      <w:rFonts w:hint="eastAsia" w:cs="Times New Roman"/>
                      <w:color w:val="auto"/>
                      <w:szCs w:val="21"/>
                      <w:highlight w:val="none"/>
                      <w:lang w:val="en-US" w:eastAsia="zh-CN"/>
                    </w:rPr>
                    <w:t>7560</w:t>
                  </w:r>
                </w:p>
              </w:tc>
            </w:tr>
            <w:tr w14:paraId="0840370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394" w:hRule="atLeast"/>
                <w:jc w:val="center"/>
              </w:trPr>
              <w:tc>
                <w:tcPr>
                  <w:tcW w:w="3420" w:type="dxa"/>
                  <w:gridSpan w:val="2"/>
                  <w:vAlign w:val="center"/>
                </w:tcPr>
                <w:p w14:paraId="5D90AF2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合计</w:t>
                  </w:r>
                </w:p>
              </w:tc>
              <w:tc>
                <w:tcPr>
                  <w:tcW w:w="1157" w:type="dxa"/>
                  <w:vAlign w:val="center"/>
                </w:tcPr>
                <w:p w14:paraId="764AC51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48</w:t>
                  </w:r>
                </w:p>
              </w:tc>
              <w:tc>
                <w:tcPr>
                  <w:tcW w:w="1221" w:type="dxa"/>
                  <w:vAlign w:val="center"/>
                </w:tcPr>
                <w:p w14:paraId="132BB0C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10080</w:t>
                  </w:r>
                </w:p>
              </w:tc>
              <w:tc>
                <w:tcPr>
                  <w:tcW w:w="1072" w:type="dxa"/>
                  <w:vAlign w:val="center"/>
                </w:tcPr>
                <w:p w14:paraId="1DD29B3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48</w:t>
                  </w:r>
                </w:p>
              </w:tc>
              <w:tc>
                <w:tcPr>
                  <w:tcW w:w="1087" w:type="dxa"/>
                  <w:vAlign w:val="center"/>
                </w:tcPr>
                <w:p w14:paraId="0744510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10080</w:t>
                  </w:r>
                </w:p>
              </w:tc>
            </w:tr>
          </w:tbl>
          <w:p w14:paraId="1473846B">
            <w:pPr>
              <w:keepNext w:val="0"/>
              <w:keepLines w:val="0"/>
              <w:pageBreakBefore w:val="0"/>
              <w:widowControl w:val="0"/>
              <w:kinsoku/>
              <w:wordWrap/>
              <w:overflowPunct/>
              <w:topLinePunct w:val="0"/>
              <w:bidi w:val="0"/>
              <w:spacing w:line="360" w:lineRule="auto"/>
              <w:jc w:val="center"/>
              <w:textAlignment w:val="auto"/>
              <w:rPr>
                <w:rFonts w:hint="default" w:ascii="Times New Roman" w:hAnsi="Times New Roman" w:eastAsia="宋体" w:cs="Times New Roman"/>
                <w:b w:val="0"/>
                <w:bCs/>
                <w:color w:val="auto"/>
                <w:spacing w:val="0"/>
                <w:sz w:val="24"/>
                <w:szCs w:val="24"/>
                <w:highlight w:val="none"/>
                <w:lang w:val="en-US" w:eastAsia="zh-CN"/>
              </w:rPr>
            </w:pPr>
            <w:r>
              <w:rPr>
                <w:rFonts w:hint="default" w:ascii="Times New Roman" w:hAnsi="Times New Roman" w:eastAsia="黑体" w:cs="Times New Roman"/>
                <w:iCs/>
                <w:snapToGrid w:val="0"/>
                <w:color w:val="auto"/>
                <w:spacing w:val="0"/>
                <w:kern w:val="0"/>
                <w:sz w:val="21"/>
                <w:szCs w:val="20"/>
                <w:highlight w:val="none"/>
                <w:lang w:val="en-US" w:eastAsia="zh-CN" w:bidi="ar-SA"/>
              </w:rPr>
              <w:object>
                <v:shape id="_x0000_i1025" o:spt="75" type="#_x0000_t75" style="height:125.75pt;width:396.55pt;" o:ole="t" filled="f" o:preferrelative="t" stroked="f" coordsize="21600,21600">
                  <v:path/>
                  <v:fill on="f" focussize="0,0"/>
                  <v:stroke on="f"/>
                  <v:imagedata r:id="rId24" o:title=""/>
                  <o:lock v:ext="edit" aspectratio="f"/>
                  <w10:wrap type="none"/>
                  <w10:anchorlock/>
                </v:shape>
                <o:OLEObject Type="Embed" ProgID="Visio.Drawing.15" ShapeID="_x0000_i1025" DrawAspect="Content" ObjectID="_1468075725" r:id="rId23">
                  <o:LockedField>false</o:LockedField>
                </o:OLEObject>
              </w:object>
            </w:r>
            <w:r>
              <w:rPr>
                <w:rFonts w:hint="default" w:ascii="Times New Roman" w:hAnsi="Times New Roman" w:eastAsia="黑体" w:cs="Times New Roman"/>
                <w:iCs/>
                <w:snapToGrid w:val="0"/>
                <w:color w:val="auto"/>
                <w:spacing w:val="0"/>
                <w:kern w:val="0"/>
                <w:sz w:val="21"/>
                <w:szCs w:val="20"/>
                <w:highlight w:val="none"/>
                <w:lang w:val="en-US" w:eastAsia="zh-CN" w:bidi="ar-SA"/>
              </w:rPr>
              <w:t>图</w:t>
            </w:r>
            <w:r>
              <w:rPr>
                <w:rFonts w:hint="eastAsia" w:eastAsia="黑体" w:cs="Times New Roman"/>
                <w:iCs/>
                <w:snapToGrid w:val="0"/>
                <w:color w:val="auto"/>
                <w:spacing w:val="0"/>
                <w:kern w:val="0"/>
                <w:sz w:val="21"/>
                <w:szCs w:val="20"/>
                <w:highlight w:val="none"/>
                <w:lang w:val="en-US" w:eastAsia="zh-CN" w:bidi="ar-SA"/>
              </w:rPr>
              <w:t>2.7</w:t>
            </w:r>
            <w:r>
              <w:rPr>
                <w:rFonts w:hint="default" w:ascii="Times New Roman" w:hAnsi="Times New Roman" w:eastAsia="黑体" w:cs="Times New Roman"/>
                <w:iCs/>
                <w:snapToGrid w:val="0"/>
                <w:color w:val="auto"/>
                <w:spacing w:val="0"/>
                <w:kern w:val="0"/>
                <w:sz w:val="21"/>
                <w:szCs w:val="20"/>
                <w:highlight w:val="none"/>
                <w:lang w:val="en-US" w:eastAsia="zh-CN" w:bidi="ar-SA"/>
              </w:rPr>
              <w:t>-1   本项目水平衡图（m³/d）</w:t>
            </w:r>
          </w:p>
          <w:p w14:paraId="4C7E93F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 w:val="0"/>
                <w:bCs/>
                <w:color w:val="auto"/>
                <w:spacing w:val="0"/>
                <w:sz w:val="24"/>
                <w:szCs w:val="24"/>
                <w:highlight w:val="none"/>
                <w:lang w:val="en-US" w:eastAsia="zh-CN"/>
              </w:rPr>
            </w:pPr>
            <w:r>
              <w:rPr>
                <w:rFonts w:hint="default" w:ascii="Times New Roman" w:hAnsi="Times New Roman" w:eastAsia="宋体" w:cs="Times New Roman"/>
                <w:b w:val="0"/>
                <w:bCs/>
                <w:color w:val="auto"/>
                <w:spacing w:val="0"/>
                <w:sz w:val="24"/>
                <w:szCs w:val="24"/>
                <w:highlight w:val="none"/>
                <w:lang w:val="en-US" w:eastAsia="zh-CN"/>
              </w:rPr>
              <w:t>2</w:t>
            </w:r>
            <w:r>
              <w:rPr>
                <w:rFonts w:hint="eastAsia" w:ascii="Times New Roman" w:hAnsi="Times New Roman" w:eastAsia="宋体" w:cs="Times New Roman"/>
                <w:b w:val="0"/>
                <w:bCs/>
                <w:color w:val="auto"/>
                <w:spacing w:val="0"/>
                <w:sz w:val="24"/>
                <w:szCs w:val="24"/>
                <w:highlight w:val="none"/>
                <w:lang w:val="en-US" w:eastAsia="zh-CN"/>
              </w:rPr>
              <w:t>.</w:t>
            </w:r>
            <w:r>
              <w:rPr>
                <w:rFonts w:hint="default" w:ascii="Times New Roman" w:hAnsi="Times New Roman" w:eastAsia="宋体" w:cs="Times New Roman"/>
                <w:b w:val="0"/>
                <w:bCs/>
                <w:color w:val="auto"/>
                <w:spacing w:val="0"/>
                <w:sz w:val="24"/>
                <w:szCs w:val="24"/>
                <w:highlight w:val="none"/>
                <w:lang w:val="en-US" w:eastAsia="zh-CN"/>
              </w:rPr>
              <w:t>供电</w:t>
            </w:r>
          </w:p>
          <w:p w14:paraId="02DB586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本项目</w:t>
            </w:r>
            <w:r>
              <w:rPr>
                <w:rFonts w:hint="eastAsia" w:cs="Times New Roman"/>
                <w:bCs/>
                <w:color w:val="auto"/>
                <w:spacing w:val="0"/>
                <w:sz w:val="24"/>
                <w:szCs w:val="24"/>
                <w:highlight w:val="none"/>
                <w:lang w:val="en-US" w:eastAsia="zh-CN"/>
              </w:rPr>
              <w:t>用电依托煤矿工业场地现有供电系统</w:t>
            </w:r>
            <w:r>
              <w:rPr>
                <w:rFonts w:hint="eastAsia" w:ascii="Times New Roman" w:hAnsi="Times New Roman" w:eastAsia="宋体" w:cs="Times New Roman"/>
                <w:bCs/>
                <w:color w:val="auto"/>
                <w:spacing w:val="0"/>
                <w:sz w:val="24"/>
                <w:szCs w:val="24"/>
                <w:highlight w:val="none"/>
                <w:lang w:val="en-US" w:eastAsia="zh-CN"/>
              </w:rPr>
              <w:t>。</w:t>
            </w:r>
          </w:p>
          <w:p w14:paraId="6F243B3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cs="Times New Roman"/>
                <w:b w:val="0"/>
                <w:bCs/>
                <w:color w:val="auto"/>
                <w:spacing w:val="0"/>
                <w:sz w:val="24"/>
                <w:szCs w:val="24"/>
                <w:highlight w:val="none"/>
                <w:lang w:val="en-US" w:eastAsia="zh-CN"/>
              </w:rPr>
              <w:t>3</w:t>
            </w:r>
            <w:r>
              <w:rPr>
                <w:rFonts w:hint="eastAsia" w:ascii="Times New Roman" w:hAnsi="Times New Roman" w:eastAsia="宋体" w:cs="Times New Roman"/>
                <w:b w:val="0"/>
                <w:bCs/>
                <w:color w:val="auto"/>
                <w:spacing w:val="0"/>
                <w:sz w:val="24"/>
                <w:szCs w:val="24"/>
                <w:highlight w:val="none"/>
                <w:lang w:val="en-US" w:eastAsia="zh-CN"/>
              </w:rPr>
              <w:t>.供气</w:t>
            </w:r>
          </w:p>
          <w:p w14:paraId="2614D9A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依托锅炉房现有供气管线，燃气由长子县丹源燃气有限公司提供</w:t>
            </w:r>
            <w:r>
              <w:rPr>
                <w:rFonts w:hint="eastAsia" w:cs="Times New Roman"/>
                <w:b w:val="0"/>
                <w:bCs/>
                <w:color w:val="auto"/>
                <w:spacing w:val="0"/>
                <w:sz w:val="24"/>
                <w:szCs w:val="24"/>
                <w:highlight w:val="none"/>
                <w:lang w:val="en-US" w:eastAsia="zh-CN"/>
              </w:rPr>
              <w:t>。</w:t>
            </w:r>
          </w:p>
          <w:p w14:paraId="72D7302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b w:val="0"/>
                <w:bCs/>
                <w:color w:val="auto"/>
                <w:spacing w:val="0"/>
                <w:sz w:val="24"/>
                <w:szCs w:val="24"/>
                <w:highlight w:val="none"/>
                <w:lang w:val="en-US" w:eastAsia="zh-CN"/>
              </w:rPr>
            </w:pPr>
            <w:r>
              <w:rPr>
                <w:rFonts w:hint="eastAsia" w:cs="Times New Roman"/>
                <w:b w:val="0"/>
                <w:bCs/>
                <w:color w:val="auto"/>
                <w:spacing w:val="0"/>
                <w:sz w:val="24"/>
                <w:szCs w:val="24"/>
                <w:highlight w:val="none"/>
                <w:lang w:val="en-US" w:eastAsia="zh-CN"/>
              </w:rPr>
              <w:t>4.供热</w:t>
            </w:r>
          </w:p>
          <w:p w14:paraId="3B88F78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b w:val="0"/>
                <w:bCs/>
                <w:color w:val="auto"/>
                <w:spacing w:val="0"/>
                <w:sz w:val="24"/>
                <w:szCs w:val="24"/>
                <w:highlight w:val="none"/>
                <w:lang w:val="en-US" w:eastAsia="zh-CN"/>
              </w:rPr>
            </w:pPr>
            <w:r>
              <w:rPr>
                <w:rFonts w:hint="eastAsia" w:cs="Times New Roman"/>
                <w:b w:val="0"/>
                <w:bCs/>
                <w:color w:val="auto"/>
                <w:spacing w:val="0"/>
                <w:sz w:val="24"/>
                <w:szCs w:val="24"/>
                <w:highlight w:val="none"/>
                <w:lang w:val="en-US" w:eastAsia="zh-CN"/>
              </w:rPr>
              <w:t>①采暖期：由现有</w:t>
            </w:r>
            <w:r>
              <w:rPr>
                <w:rFonts w:hint="default" w:cs="Times New Roman"/>
                <w:b w:val="0"/>
                <w:bCs/>
                <w:color w:val="auto"/>
                <w:spacing w:val="0"/>
                <w:sz w:val="24"/>
                <w:szCs w:val="24"/>
                <w:highlight w:val="none"/>
                <w:lang w:val="en-US" w:eastAsia="zh-CN"/>
              </w:rPr>
              <w:t>锅炉房内4台SZS14-1.25/115/70-Q型热水锅炉</w:t>
            </w:r>
            <w:r>
              <w:rPr>
                <w:rFonts w:hint="eastAsia" w:cs="Times New Roman"/>
                <w:b w:val="0"/>
                <w:bCs/>
                <w:color w:val="auto"/>
                <w:spacing w:val="0"/>
                <w:sz w:val="24"/>
                <w:szCs w:val="24"/>
                <w:highlight w:val="none"/>
                <w:lang w:val="en-US" w:eastAsia="zh-CN"/>
              </w:rPr>
              <w:t>供热</w:t>
            </w:r>
            <w:r>
              <w:rPr>
                <w:rFonts w:hint="default" w:cs="Times New Roman"/>
                <w:b w:val="0"/>
                <w:bCs/>
                <w:color w:val="auto"/>
                <w:spacing w:val="0"/>
                <w:sz w:val="24"/>
                <w:szCs w:val="24"/>
                <w:highlight w:val="none"/>
                <w:lang w:val="en-US" w:eastAsia="zh-CN"/>
              </w:rPr>
              <w:t>，燃用天然气。</w:t>
            </w:r>
          </w:p>
          <w:p w14:paraId="5C7DD10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b w:val="0"/>
                <w:bCs/>
                <w:color w:val="auto"/>
                <w:spacing w:val="0"/>
                <w:sz w:val="24"/>
                <w:szCs w:val="24"/>
                <w:highlight w:val="none"/>
                <w:lang w:val="en-US" w:eastAsia="zh-CN"/>
              </w:rPr>
            </w:pPr>
            <w:r>
              <w:rPr>
                <w:rFonts w:hint="eastAsia" w:cs="Times New Roman"/>
                <w:b w:val="0"/>
                <w:bCs/>
                <w:color w:val="auto"/>
                <w:spacing w:val="0"/>
                <w:sz w:val="24"/>
                <w:szCs w:val="24"/>
                <w:highlight w:val="none"/>
                <w:lang w:val="en-US" w:eastAsia="zh-CN"/>
              </w:rPr>
              <w:t>②非采暖期：由本项目新建1台3.5MW燃气热水锅炉（原为</w:t>
            </w:r>
            <w:r>
              <w:rPr>
                <w:rFonts w:hint="default" w:cs="Times New Roman"/>
                <w:b w:val="0"/>
                <w:bCs/>
                <w:color w:val="auto"/>
                <w:spacing w:val="0"/>
                <w:sz w:val="24"/>
                <w:szCs w:val="24"/>
                <w:highlight w:val="none"/>
                <w:lang w:val="en-US" w:eastAsia="zh-CN"/>
              </w:rPr>
              <w:t>都宝电厂余热系统</w:t>
            </w:r>
            <w:r>
              <w:rPr>
                <w:rFonts w:hint="eastAsia" w:cs="Times New Roman"/>
                <w:b w:val="0"/>
                <w:bCs/>
                <w:color w:val="auto"/>
                <w:spacing w:val="0"/>
                <w:sz w:val="24"/>
                <w:szCs w:val="24"/>
                <w:highlight w:val="none"/>
                <w:lang w:val="en-US" w:eastAsia="zh-CN"/>
              </w:rPr>
              <w:t>供热，现已停止运行）、空压机余热系统、</w:t>
            </w:r>
            <w:r>
              <w:rPr>
                <w:rFonts w:hint="default" w:cs="Times New Roman"/>
                <w:b w:val="0"/>
                <w:bCs/>
                <w:color w:val="auto"/>
                <w:spacing w:val="0"/>
                <w:sz w:val="24"/>
                <w:szCs w:val="24"/>
                <w:highlight w:val="none"/>
                <w:lang w:val="en-US" w:eastAsia="zh-CN"/>
              </w:rPr>
              <w:t>路西空气能系统供热</w:t>
            </w:r>
            <w:r>
              <w:rPr>
                <w:rFonts w:hint="eastAsia" w:cs="Times New Roman"/>
                <w:b w:val="0"/>
                <w:bCs/>
                <w:color w:val="auto"/>
                <w:spacing w:val="0"/>
                <w:sz w:val="24"/>
                <w:szCs w:val="24"/>
                <w:highlight w:val="none"/>
                <w:lang w:val="en-US" w:eastAsia="zh-CN"/>
              </w:rPr>
              <w:t>。</w:t>
            </w:r>
          </w:p>
          <w:p w14:paraId="63E461D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b w:val="0"/>
                <w:bCs/>
                <w:color w:val="auto"/>
                <w:spacing w:val="0"/>
                <w:sz w:val="24"/>
                <w:szCs w:val="24"/>
                <w:highlight w:val="none"/>
                <w:lang w:val="en-US" w:eastAsia="zh-CN"/>
              </w:rPr>
            </w:pPr>
            <w:r>
              <w:rPr>
                <w:rFonts w:hint="default" w:cs="Times New Roman"/>
                <w:b w:val="0"/>
                <w:bCs/>
                <w:color w:val="auto"/>
                <w:spacing w:val="0"/>
                <w:sz w:val="24"/>
                <w:szCs w:val="24"/>
                <w:highlight w:val="none"/>
                <w:lang w:val="en-US" w:eastAsia="zh-CN"/>
              </w:rPr>
              <w:t>都宝电厂</w:t>
            </w:r>
            <w:r>
              <w:rPr>
                <w:rFonts w:hint="eastAsia" w:cs="Times New Roman"/>
                <w:b w:val="0"/>
                <w:bCs/>
                <w:color w:val="auto"/>
                <w:spacing w:val="0"/>
                <w:sz w:val="24"/>
                <w:szCs w:val="24"/>
                <w:highlight w:val="none"/>
                <w:lang w:val="en-US" w:eastAsia="zh-CN"/>
              </w:rPr>
              <w:t>（</w:t>
            </w:r>
            <w:r>
              <w:rPr>
                <w:rFonts w:hint="default" w:cs="Times New Roman"/>
                <w:b w:val="0"/>
                <w:bCs/>
                <w:color w:val="auto"/>
                <w:spacing w:val="0"/>
                <w:sz w:val="24"/>
                <w:szCs w:val="24"/>
                <w:highlight w:val="none"/>
                <w:lang w:val="en-US" w:eastAsia="zh-CN"/>
              </w:rPr>
              <w:t>于2026年4月底停止运行</w:t>
            </w:r>
            <w:r>
              <w:rPr>
                <w:rFonts w:hint="eastAsia" w:cs="Times New Roman"/>
                <w:b w:val="0"/>
                <w:bCs/>
                <w:color w:val="auto"/>
                <w:spacing w:val="0"/>
                <w:sz w:val="24"/>
                <w:szCs w:val="24"/>
                <w:highlight w:val="none"/>
                <w:lang w:val="en-US" w:eastAsia="zh-CN"/>
              </w:rPr>
              <w:t>）</w:t>
            </w:r>
            <w:r>
              <w:rPr>
                <w:rFonts w:hint="default" w:cs="Times New Roman"/>
                <w:b w:val="0"/>
                <w:bCs/>
                <w:color w:val="auto"/>
                <w:spacing w:val="0"/>
                <w:sz w:val="24"/>
                <w:szCs w:val="24"/>
                <w:highlight w:val="none"/>
                <w:lang w:val="en-US" w:eastAsia="zh-CN"/>
              </w:rPr>
              <w:t>余热系统主要</w:t>
            </w:r>
            <w:r>
              <w:rPr>
                <w:rFonts w:hint="eastAsia" w:cs="Times New Roman"/>
                <w:b w:val="0"/>
                <w:bCs/>
                <w:color w:val="auto"/>
                <w:spacing w:val="0"/>
                <w:sz w:val="24"/>
                <w:szCs w:val="24"/>
                <w:highlight w:val="none"/>
                <w:lang w:val="en-US" w:eastAsia="zh-CN"/>
              </w:rPr>
              <w:t>供热范围</w:t>
            </w:r>
            <w:r>
              <w:rPr>
                <w:rFonts w:hint="default" w:cs="Times New Roman"/>
                <w:b w:val="0"/>
                <w:bCs/>
                <w:color w:val="auto"/>
                <w:spacing w:val="0"/>
                <w:sz w:val="24"/>
                <w:szCs w:val="24"/>
                <w:highlight w:val="none"/>
                <w:lang w:val="en-US" w:eastAsia="zh-CN"/>
              </w:rPr>
              <w:t>为</w:t>
            </w:r>
            <w:r>
              <w:rPr>
                <w:rFonts w:hint="eastAsia" w:cs="Times New Roman"/>
                <w:b w:val="0"/>
                <w:bCs/>
                <w:color w:val="auto"/>
                <w:spacing w:val="0"/>
                <w:sz w:val="24"/>
                <w:szCs w:val="24"/>
                <w:highlight w:val="none"/>
                <w:lang w:val="en-US" w:eastAsia="zh-CN"/>
              </w:rPr>
              <w:t>：</w:t>
            </w:r>
            <w:r>
              <w:rPr>
                <w:rFonts w:hint="default" w:cs="Times New Roman"/>
                <w:b w:val="0"/>
                <w:bCs/>
                <w:color w:val="auto"/>
                <w:spacing w:val="0"/>
                <w:sz w:val="24"/>
                <w:szCs w:val="24"/>
                <w:highlight w:val="none"/>
                <w:lang w:val="en-US" w:eastAsia="zh-CN"/>
              </w:rPr>
              <w:t>矿区旧联建澡堂浴池、新联建澡堂浴池、干部澡堂浴池和1-4号公寓楼淋浴提供热源。该系统供热能力为2兆瓦左右。</w:t>
            </w:r>
          </w:p>
          <w:p w14:paraId="0BF84F9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b w:val="0"/>
                <w:bCs/>
                <w:color w:val="auto"/>
                <w:spacing w:val="0"/>
                <w:sz w:val="24"/>
                <w:szCs w:val="24"/>
                <w:highlight w:val="none"/>
                <w:lang w:val="en-US" w:eastAsia="zh-CN"/>
              </w:rPr>
            </w:pPr>
            <w:r>
              <w:rPr>
                <w:rFonts w:hint="default" w:cs="Times New Roman"/>
                <w:b w:val="0"/>
                <w:bCs/>
                <w:color w:val="auto"/>
                <w:spacing w:val="0"/>
                <w:sz w:val="24"/>
                <w:szCs w:val="24"/>
                <w:highlight w:val="none"/>
                <w:lang w:val="en-US" w:eastAsia="zh-CN"/>
              </w:rPr>
              <w:t>空压机余热系统</w:t>
            </w:r>
            <w:r>
              <w:rPr>
                <w:rFonts w:hint="eastAsia" w:cs="Times New Roman"/>
                <w:b w:val="0"/>
                <w:bCs/>
                <w:color w:val="auto"/>
                <w:spacing w:val="0"/>
                <w:sz w:val="24"/>
                <w:szCs w:val="24"/>
                <w:highlight w:val="none"/>
                <w:lang w:val="en-US" w:eastAsia="zh-CN"/>
              </w:rPr>
              <w:t>：</w:t>
            </w:r>
            <w:r>
              <w:rPr>
                <w:rFonts w:hint="default" w:cs="Times New Roman"/>
                <w:b w:val="0"/>
                <w:bCs/>
                <w:color w:val="auto"/>
                <w:spacing w:val="0"/>
                <w:sz w:val="24"/>
                <w:szCs w:val="24"/>
                <w:highlight w:val="none"/>
                <w:lang w:val="en-US" w:eastAsia="zh-CN"/>
              </w:rPr>
              <w:t>该系统主要为新联建澡堂淋浴，干部澡堂淋浴提供热源。该系统设计最大能力为每日可为以上区域提供400立方50摄氏度左右热水，现以上区域日用水量为350立方左右，可以满足以上区域用热需求。</w:t>
            </w:r>
          </w:p>
          <w:p w14:paraId="651FB39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b w:val="0"/>
                <w:bCs/>
                <w:color w:val="auto"/>
                <w:spacing w:val="0"/>
                <w:sz w:val="24"/>
                <w:szCs w:val="24"/>
                <w:highlight w:val="none"/>
                <w:lang w:val="en-US" w:eastAsia="zh-CN"/>
              </w:rPr>
            </w:pPr>
            <w:r>
              <w:rPr>
                <w:rFonts w:hint="default" w:cs="Times New Roman"/>
                <w:b w:val="0"/>
                <w:bCs/>
                <w:color w:val="auto"/>
                <w:spacing w:val="0"/>
                <w:sz w:val="24"/>
                <w:szCs w:val="24"/>
                <w:highlight w:val="none"/>
                <w:lang w:val="en-US" w:eastAsia="zh-CN"/>
              </w:rPr>
              <w:t>路西空气能系统：主要为5-6号公寓楼提供热水，设计能力为每天150立方左右，现该区域日用水量为120立方左右，可以满足以上区域用热需求。</w:t>
            </w:r>
          </w:p>
          <w:p w14:paraId="4BC9C84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b w:val="0"/>
                <w:bCs/>
                <w:color w:val="auto"/>
                <w:spacing w:val="0"/>
                <w:sz w:val="24"/>
                <w:szCs w:val="24"/>
                <w:highlight w:val="none"/>
                <w:lang w:val="en-US" w:eastAsia="zh-CN"/>
              </w:rPr>
            </w:pPr>
            <w:r>
              <w:rPr>
                <w:rFonts w:hint="eastAsia" w:cs="Times New Roman"/>
                <w:b w:val="0"/>
                <w:bCs/>
                <w:color w:val="auto"/>
                <w:spacing w:val="0"/>
                <w:sz w:val="24"/>
                <w:szCs w:val="24"/>
                <w:highlight w:val="none"/>
                <w:lang w:val="en-US" w:eastAsia="zh-CN"/>
              </w:rPr>
              <w:t>因此，为</w:t>
            </w:r>
            <w:r>
              <w:rPr>
                <w:rFonts w:hint="default" w:cs="Times New Roman"/>
                <w:b w:val="0"/>
                <w:bCs/>
                <w:color w:val="auto"/>
                <w:spacing w:val="0"/>
                <w:sz w:val="24"/>
                <w:szCs w:val="24"/>
                <w:highlight w:val="none"/>
                <w:lang w:val="en-US" w:eastAsia="zh-CN"/>
              </w:rPr>
              <w:t>解决澡堂浴池和1-4号公寓楼淋浴热水夏季供热问题</w:t>
            </w:r>
            <w:r>
              <w:rPr>
                <w:rFonts w:hint="eastAsia" w:cs="Times New Roman"/>
                <w:b w:val="0"/>
                <w:bCs/>
                <w:color w:val="auto"/>
                <w:spacing w:val="0"/>
                <w:sz w:val="24"/>
                <w:szCs w:val="24"/>
                <w:highlight w:val="none"/>
                <w:lang w:val="en-US" w:eastAsia="zh-CN"/>
              </w:rPr>
              <w:t>，同时考虑</w:t>
            </w:r>
            <w:r>
              <w:rPr>
                <w:rFonts w:hint="default" w:cs="Times New Roman"/>
                <w:b w:val="0"/>
                <w:bCs/>
                <w:color w:val="auto"/>
                <w:spacing w:val="0"/>
                <w:sz w:val="24"/>
                <w:szCs w:val="24"/>
                <w:highlight w:val="none"/>
                <w:lang w:val="en-US" w:eastAsia="zh-CN"/>
              </w:rPr>
              <w:t>一旦</w:t>
            </w:r>
            <w:r>
              <w:rPr>
                <w:rFonts w:hint="eastAsia" w:cs="Times New Roman"/>
                <w:b w:val="0"/>
                <w:bCs/>
                <w:color w:val="auto"/>
                <w:spacing w:val="0"/>
                <w:sz w:val="24"/>
                <w:szCs w:val="24"/>
                <w:highlight w:val="none"/>
                <w:lang w:val="en-US" w:eastAsia="zh-CN"/>
              </w:rPr>
              <w:t>空压机余热系统和路西空气能</w:t>
            </w:r>
            <w:r>
              <w:rPr>
                <w:rFonts w:hint="default" w:cs="Times New Roman"/>
                <w:b w:val="0"/>
                <w:bCs/>
                <w:color w:val="auto"/>
                <w:spacing w:val="0"/>
                <w:sz w:val="24"/>
                <w:szCs w:val="24"/>
                <w:highlight w:val="none"/>
                <w:lang w:val="en-US" w:eastAsia="zh-CN"/>
              </w:rPr>
              <w:t>系统出现问题，也可做为空压机余热及空气能余热</w:t>
            </w:r>
            <w:r>
              <w:rPr>
                <w:rFonts w:hint="eastAsia" w:cs="Times New Roman"/>
                <w:b w:val="0"/>
                <w:bCs/>
                <w:color w:val="auto"/>
                <w:spacing w:val="0"/>
                <w:sz w:val="24"/>
                <w:szCs w:val="24"/>
                <w:highlight w:val="none"/>
                <w:lang w:val="en-US" w:eastAsia="zh-CN"/>
              </w:rPr>
              <w:t>补充热源，本次新建1台3.5MW燃气热水锅炉满足本矿非采暖期供热需求。</w:t>
            </w:r>
          </w:p>
        </w:tc>
      </w:tr>
      <w:tr w14:paraId="31DAA6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841" w:type="dxa"/>
            <w:vAlign w:val="center"/>
          </w:tcPr>
          <w:p w14:paraId="613636B0">
            <w:pPr>
              <w:pStyle w:val="19"/>
              <w:adjustRightInd w:val="0"/>
              <w:snapToGrid w:val="0"/>
              <w:spacing w:before="0" w:beforeAutospacing="0" w:after="0" w:afterAutospacing="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br w:type="page"/>
            </w:r>
            <w:r>
              <w:rPr>
                <w:rFonts w:hint="default" w:ascii="Times New Roman" w:hAnsi="Times New Roman" w:cs="Times New Roman"/>
                <w:color w:val="auto"/>
                <w:sz w:val="21"/>
                <w:szCs w:val="21"/>
                <w:highlight w:val="none"/>
              </w:rPr>
              <w:t>工艺流程和产排污环节</w:t>
            </w:r>
          </w:p>
        </w:tc>
        <w:tc>
          <w:tcPr>
            <w:tcW w:w="8220" w:type="dxa"/>
          </w:tcPr>
          <w:p w14:paraId="63DD9CEA">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8</w:t>
            </w:r>
            <w:r>
              <w:rPr>
                <w:rFonts w:hint="eastAsia" w:ascii="Times New Roman" w:hAnsi="Times New Roman" w:eastAsia="宋体" w:cs="Times New Roman"/>
                <w:b/>
                <w:bCs/>
                <w:color w:val="auto"/>
                <w:sz w:val="24"/>
                <w:szCs w:val="24"/>
                <w:highlight w:val="none"/>
                <w:lang w:val="en-US" w:eastAsia="zh-CN"/>
              </w:rPr>
              <w:t>工艺流程和产排污环节</w:t>
            </w:r>
          </w:p>
          <w:p w14:paraId="05923EBF">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8</w:t>
            </w:r>
            <w:r>
              <w:rPr>
                <w:rFonts w:hint="eastAsia" w:ascii="Times New Roman" w:hAnsi="Times New Roman" w:eastAsia="宋体" w:cs="Times New Roman"/>
                <w:b/>
                <w:bCs/>
                <w:color w:val="auto"/>
                <w:sz w:val="24"/>
                <w:szCs w:val="24"/>
                <w:highlight w:val="none"/>
                <w:lang w:val="en-US" w:eastAsia="zh-CN"/>
              </w:rPr>
              <w:t>.1 生产工艺流程</w:t>
            </w:r>
          </w:p>
          <w:p w14:paraId="157BED54">
            <w:pPr>
              <w:keepNext w:val="0"/>
              <w:keepLines w:val="0"/>
              <w:pageBreakBefore w:val="0"/>
              <w:widowControl w:val="0"/>
              <w:kinsoku/>
              <w:wordWrap/>
              <w:overflowPunct/>
              <w:topLinePunct w:val="0"/>
              <w:autoSpaceDE w:val="0"/>
              <w:autoSpaceDN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本项目新建1台3.5MW燃气热水锅炉，配套设置低氮燃烧+烟气再循环装置</w:t>
            </w:r>
            <w:r>
              <w:rPr>
                <w:rFonts w:hint="default" w:ascii="Times New Roman" w:hAnsi="Times New Roman" w:eastAsia="宋体" w:cs="Times New Roman"/>
                <w:color w:val="auto"/>
                <w:sz w:val="24"/>
                <w:szCs w:val="24"/>
                <w:lang w:val="en-US" w:eastAsia="zh-CN"/>
              </w:rPr>
              <w:t>。</w:t>
            </w:r>
          </w:p>
          <w:p w14:paraId="6A7CE742">
            <w:pPr>
              <w:keepNext w:val="0"/>
              <w:keepLines w:val="0"/>
              <w:pageBreakBefore w:val="0"/>
              <w:widowControl w:val="0"/>
              <w:kinsoku/>
              <w:wordWrap/>
              <w:overflowPunct/>
              <w:topLinePunct w:val="0"/>
              <w:autoSpaceDE w:val="0"/>
              <w:autoSpaceDN w:val="0"/>
              <w:bidi w:val="0"/>
              <w:adjustRightInd w:val="0"/>
              <w:snapToGrid w:val="0"/>
              <w:spacing w:line="480" w:lineRule="exact"/>
              <w:ind w:left="0" w:leftChars="0" w:firstLine="480" w:firstLineChars="200"/>
              <w:textAlignment w:val="auto"/>
              <w:rPr>
                <w:rFonts w:hint="eastAsia" w:cs="Times New Roman"/>
                <w:color w:val="auto"/>
                <w:sz w:val="24"/>
                <w:szCs w:val="24"/>
                <w:lang w:val="en-US" w:eastAsia="zh-CN"/>
              </w:rPr>
            </w:pPr>
            <w:r>
              <w:rPr>
                <w:rFonts w:hint="eastAsia" w:cs="Times New Roman"/>
                <w:color w:val="auto"/>
                <w:sz w:val="24"/>
                <w:szCs w:val="24"/>
                <w:lang w:val="en-US" w:eastAsia="zh-CN"/>
              </w:rPr>
              <w:t>燃气锅炉由锅炉本体和锅炉辅机组成，辅机主要由燃烧器、循环泵、补水泵、辅机控制柜、动力柜、工控机电脑、锅炉控制柜、节能器、冷凝器等组成。</w:t>
            </w:r>
          </w:p>
          <w:p w14:paraId="135C6F47">
            <w:pPr>
              <w:keepNext w:val="0"/>
              <w:keepLines w:val="0"/>
              <w:pageBreakBefore w:val="0"/>
              <w:widowControl w:val="0"/>
              <w:kinsoku/>
              <w:wordWrap/>
              <w:overflowPunct/>
              <w:topLinePunct w:val="0"/>
              <w:autoSpaceDE w:val="0"/>
              <w:autoSpaceDN w:val="0"/>
              <w:bidi w:val="0"/>
              <w:adjustRightInd w:val="0"/>
              <w:snapToGrid w:val="0"/>
              <w:spacing w:line="480" w:lineRule="exact"/>
              <w:ind w:left="0" w:leftChars="0" w:firstLine="480" w:firstLineChars="200"/>
              <w:textAlignment w:val="auto"/>
              <w:rPr>
                <w:rFonts w:hint="default" w:cs="Times New Roman"/>
                <w:color w:val="auto"/>
                <w:sz w:val="24"/>
                <w:szCs w:val="24"/>
                <w:lang w:val="en-US" w:eastAsia="zh-CN"/>
              </w:rPr>
            </w:pPr>
            <w:r>
              <w:rPr>
                <w:rFonts w:hint="default" w:cs="Times New Roman"/>
                <w:color w:val="auto"/>
                <w:sz w:val="24"/>
                <w:szCs w:val="24"/>
                <w:lang w:val="en-US" w:eastAsia="zh-CN"/>
              </w:rPr>
              <w:t>锅炉系统</w:t>
            </w:r>
            <w:r>
              <w:rPr>
                <w:rFonts w:hint="eastAsia" w:cs="Times New Roman"/>
                <w:color w:val="auto"/>
                <w:sz w:val="24"/>
                <w:szCs w:val="24"/>
                <w:lang w:val="en-US" w:eastAsia="zh-CN"/>
              </w:rPr>
              <w:t>：</w:t>
            </w:r>
            <w:r>
              <w:rPr>
                <w:rFonts w:hint="default" w:cs="Times New Roman"/>
                <w:color w:val="auto"/>
                <w:sz w:val="24"/>
                <w:szCs w:val="24"/>
                <w:lang w:val="en-US" w:eastAsia="zh-CN"/>
              </w:rPr>
              <w:t>软化</w:t>
            </w:r>
            <w:r>
              <w:rPr>
                <w:rFonts w:hint="eastAsia" w:cs="Times New Roman"/>
                <w:color w:val="auto"/>
                <w:sz w:val="24"/>
                <w:szCs w:val="24"/>
                <w:lang w:val="en-US" w:eastAsia="zh-CN"/>
              </w:rPr>
              <w:t>水通过管道</w:t>
            </w:r>
            <w:r>
              <w:rPr>
                <w:rFonts w:hint="default" w:cs="Times New Roman"/>
                <w:color w:val="auto"/>
                <w:sz w:val="24"/>
                <w:szCs w:val="24"/>
                <w:lang w:val="en-US" w:eastAsia="zh-CN"/>
              </w:rPr>
              <w:t>进入锅炉内</w:t>
            </w:r>
            <w:r>
              <w:rPr>
                <w:rFonts w:hint="eastAsia" w:cs="Times New Roman"/>
                <w:color w:val="auto"/>
                <w:sz w:val="24"/>
                <w:szCs w:val="24"/>
                <w:lang w:val="en-US" w:eastAsia="zh-CN"/>
              </w:rPr>
              <w:t>，</w:t>
            </w:r>
            <w:r>
              <w:rPr>
                <w:rFonts w:hint="default" w:cs="Times New Roman"/>
                <w:color w:val="auto"/>
                <w:sz w:val="24"/>
                <w:szCs w:val="24"/>
                <w:lang w:val="en-US" w:eastAsia="zh-CN"/>
              </w:rPr>
              <w:t>燃气热水锅炉运行时，天然气在适当的温度下，与通风系统输送给炉膛内的空气混合燃烧，释放出热量，通过各受热面传递给锅内软化水，水温不断升高，对于燃气热水锅炉，锅内软化水温度始终在沸点温度以下，通过进水口进入锅炉，经过锅炉加热后的符合供热标准的水质通过循环水泵送入换热器</w:t>
            </w:r>
            <w:r>
              <w:rPr>
                <w:rFonts w:hint="eastAsia" w:cs="Times New Roman"/>
                <w:color w:val="auto"/>
                <w:sz w:val="24"/>
                <w:szCs w:val="24"/>
                <w:lang w:val="en-US" w:eastAsia="zh-CN"/>
              </w:rPr>
              <w:t>，</w:t>
            </w:r>
            <w:r>
              <w:rPr>
                <w:rFonts w:hint="default" w:cs="Times New Roman"/>
                <w:color w:val="auto"/>
                <w:sz w:val="24"/>
                <w:szCs w:val="24"/>
                <w:lang w:val="en-US" w:eastAsia="zh-CN"/>
              </w:rPr>
              <w:t>与自来水进行间接换热。自来水被加热后，作为生活热水供给</w:t>
            </w:r>
            <w:r>
              <w:rPr>
                <w:rFonts w:hint="eastAsia" w:cs="Times New Roman"/>
                <w:color w:val="auto"/>
                <w:sz w:val="24"/>
                <w:szCs w:val="24"/>
                <w:lang w:val="en-US" w:eastAsia="zh-CN"/>
              </w:rPr>
              <w:t>用水点</w:t>
            </w:r>
            <w:r>
              <w:rPr>
                <w:rFonts w:hint="default" w:cs="Times New Roman"/>
                <w:color w:val="auto"/>
                <w:sz w:val="24"/>
                <w:szCs w:val="24"/>
                <w:lang w:val="en-US" w:eastAsia="zh-CN"/>
              </w:rPr>
              <w:t>使用；换热降温后的软化水，回流至锅炉再次加热，闭式循环。系统自动补水、定压、控温，保证连续稳定供热水。</w:t>
            </w:r>
          </w:p>
          <w:p w14:paraId="32D45FFD">
            <w:pPr>
              <w:keepNext w:val="0"/>
              <w:keepLines w:val="0"/>
              <w:pageBreakBefore w:val="0"/>
              <w:widowControl w:val="0"/>
              <w:kinsoku/>
              <w:wordWrap/>
              <w:overflowPunct/>
              <w:topLinePunct w:val="0"/>
              <w:autoSpaceDE w:val="0"/>
              <w:autoSpaceDN w:val="0"/>
              <w:bidi w:val="0"/>
              <w:adjustRightInd w:val="0"/>
              <w:snapToGrid w:val="0"/>
              <w:spacing w:line="48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软水制备系统：锅炉内部需要使用软化水，本项目依托现有工程软化水制备系统，采用以钠型阳离子交换树脂去除水中钙镁离子，达到软化硬水的目的，从而避免碳酸盐在管道、容器、锅炉产生结垢现象。水通过软化水装置置换后，残余硬度减小，供锅炉使用。当钠离子交换树脂失效之后，为恢复交换能力，就要进行再生处理，使用工业盐水再生，再生含盐废水外排。软水制备工艺过程会产生树脂再生含盐废水和定期更换下来的废离子交换树脂。</w:t>
            </w:r>
          </w:p>
          <w:p w14:paraId="0C46626A">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工艺流程及污染节点见</w:t>
            </w:r>
            <w:r>
              <w:rPr>
                <w:rFonts w:hint="eastAsia" w:cs="Times New Roman"/>
                <w:bCs/>
                <w:color w:val="auto"/>
                <w:sz w:val="24"/>
                <w:szCs w:val="24"/>
                <w:highlight w:val="none"/>
                <w:lang w:val="en-US" w:eastAsia="zh-CN"/>
              </w:rPr>
              <w:t>下</w:t>
            </w:r>
            <w:r>
              <w:rPr>
                <w:rFonts w:hint="eastAsia" w:ascii="Times New Roman" w:hAnsi="Times New Roman" w:eastAsia="宋体" w:cs="Times New Roman"/>
                <w:bCs/>
                <w:color w:val="auto"/>
                <w:sz w:val="24"/>
                <w:szCs w:val="24"/>
                <w:highlight w:val="none"/>
                <w:lang w:val="en-US" w:eastAsia="zh-CN"/>
              </w:rPr>
              <w:t>图。</w:t>
            </w:r>
          </w:p>
          <w:p w14:paraId="5B01C6AE">
            <w:pPr>
              <w:jc w:val="center"/>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object>
                <v:shape id="_x0000_i1026" o:spt="75" type="#_x0000_t75" style="height:88.35pt;width:416.8pt;" o:ole="t" filled="f" o:preferrelative="t" stroked="f" coordsize="21600,21600">
                  <v:path/>
                  <v:fill on="f" focussize="0,0"/>
                  <v:stroke on="f"/>
                  <v:imagedata r:id="rId26" o:title=""/>
                  <o:lock v:ext="edit" aspectratio="f"/>
                  <w10:wrap type="none"/>
                  <w10:anchorlock/>
                </v:shape>
                <o:OLEObject Type="Embed" ProgID="Visio.Drawing.15" ShapeID="_x0000_i1026" DrawAspect="Content" ObjectID="_1468075726" r:id="rId25">
                  <o:LockedField>false</o:LockedField>
                </o:OLEObject>
              </w:object>
            </w:r>
            <w:r>
              <w:rPr>
                <w:rFonts w:hint="default" w:ascii="Times New Roman" w:hAnsi="Times New Roman" w:eastAsia="黑体" w:cs="Times New Roman"/>
                <w:b w:val="0"/>
                <w:bCs w:val="0"/>
                <w:color w:val="auto"/>
                <w:kern w:val="2"/>
                <w:sz w:val="21"/>
                <w:szCs w:val="21"/>
                <w:highlight w:val="none"/>
                <w:lang w:val="en-US" w:eastAsia="zh-CN" w:bidi="ar-SA"/>
              </w:rPr>
              <w:t>图</w:t>
            </w:r>
            <w:r>
              <w:rPr>
                <w:rFonts w:hint="eastAsia" w:eastAsia="黑体" w:cs="Times New Roman"/>
                <w:b w:val="0"/>
                <w:bCs w:val="0"/>
                <w:color w:val="auto"/>
                <w:kern w:val="2"/>
                <w:sz w:val="21"/>
                <w:szCs w:val="21"/>
                <w:highlight w:val="none"/>
                <w:lang w:val="en-US" w:eastAsia="zh-CN" w:bidi="ar-SA"/>
              </w:rPr>
              <w:t>2.8-1</w:t>
            </w:r>
            <w:r>
              <w:rPr>
                <w:rFonts w:hint="default" w:ascii="Times New Roman" w:hAnsi="Times New Roman" w:eastAsia="黑体" w:cs="Times New Roman"/>
                <w:b w:val="0"/>
                <w:bCs w:val="0"/>
                <w:color w:val="auto"/>
                <w:kern w:val="2"/>
                <w:sz w:val="21"/>
                <w:szCs w:val="21"/>
                <w:highlight w:val="none"/>
                <w:lang w:val="en-US" w:eastAsia="zh-CN" w:bidi="ar-SA"/>
              </w:rPr>
              <w:t xml:space="preserve">  工艺流程及</w:t>
            </w:r>
            <w:r>
              <w:rPr>
                <w:rFonts w:hint="eastAsia" w:eastAsia="黑体" w:cs="Times New Roman"/>
                <w:b w:val="0"/>
                <w:bCs w:val="0"/>
                <w:color w:val="auto"/>
                <w:kern w:val="2"/>
                <w:sz w:val="21"/>
                <w:szCs w:val="21"/>
                <w:highlight w:val="none"/>
                <w:lang w:val="en-US" w:eastAsia="zh-CN" w:bidi="ar-SA"/>
              </w:rPr>
              <w:t>产污</w:t>
            </w:r>
            <w:r>
              <w:rPr>
                <w:rFonts w:hint="default" w:ascii="Times New Roman" w:hAnsi="Times New Roman" w:eastAsia="黑体" w:cs="Times New Roman"/>
                <w:b w:val="0"/>
                <w:bCs w:val="0"/>
                <w:color w:val="auto"/>
                <w:kern w:val="2"/>
                <w:sz w:val="21"/>
                <w:szCs w:val="21"/>
                <w:highlight w:val="none"/>
                <w:lang w:val="en-US" w:eastAsia="zh-CN" w:bidi="ar-SA"/>
              </w:rPr>
              <w:t>节点图</w:t>
            </w:r>
          </w:p>
          <w:p w14:paraId="392BAA89">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8</w:t>
            </w:r>
            <w:r>
              <w:rPr>
                <w:rFonts w:hint="eastAsia" w:ascii="Times New Roman" w:hAnsi="Times New Roman" w:eastAsia="宋体" w:cs="Times New Roman"/>
                <w:b/>
                <w:bCs/>
                <w:color w:val="auto"/>
                <w:sz w:val="24"/>
                <w:szCs w:val="24"/>
                <w:highlight w:val="none"/>
                <w:lang w:val="en-US" w:eastAsia="zh-CN"/>
              </w:rPr>
              <w:t xml:space="preserve">.2 </w:t>
            </w:r>
            <w:r>
              <w:rPr>
                <w:rFonts w:hint="default" w:ascii="Times New Roman" w:hAnsi="Times New Roman" w:eastAsia="宋体" w:cs="Times New Roman"/>
                <w:b/>
                <w:bCs w:val="0"/>
                <w:color w:val="auto"/>
                <w:sz w:val="24"/>
                <w:szCs w:val="24"/>
                <w:highlight w:val="none"/>
                <w:lang w:val="en-US" w:eastAsia="zh-CN"/>
              </w:rPr>
              <w:t>产排污环节</w:t>
            </w:r>
          </w:p>
          <w:p w14:paraId="40D6E776">
            <w:pPr>
              <w:keepNext w:val="0"/>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1</w:t>
            </w:r>
            <w:r>
              <w:rPr>
                <w:rFonts w:hint="eastAsia" w:ascii="Times New Roman" w:hAnsi="Times New Roman" w:eastAsia="宋体" w:cs="Times New Roman"/>
                <w:bCs/>
                <w:color w:val="auto"/>
                <w:sz w:val="24"/>
                <w:szCs w:val="24"/>
                <w:highlight w:val="none"/>
                <w:lang w:val="en-US" w:eastAsia="zh-CN"/>
              </w:rPr>
              <w:t>.</w:t>
            </w:r>
            <w:r>
              <w:rPr>
                <w:rFonts w:hint="default" w:ascii="Times New Roman" w:hAnsi="Times New Roman" w:eastAsia="宋体" w:cs="Times New Roman"/>
                <w:bCs/>
                <w:color w:val="auto"/>
                <w:sz w:val="24"/>
                <w:szCs w:val="24"/>
                <w:highlight w:val="none"/>
                <w:lang w:val="en-US" w:eastAsia="zh-CN"/>
              </w:rPr>
              <w:t>施工期</w:t>
            </w:r>
          </w:p>
          <w:p w14:paraId="56A58E77">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bCs/>
                <w:color w:val="auto"/>
                <w:sz w:val="24"/>
                <w:szCs w:val="24"/>
                <w:highlight w:val="none"/>
                <w:lang w:val="en-US" w:eastAsia="zh-CN"/>
              </w:rPr>
              <w:t>本项目主要在矿区现有锅炉房内进行设备安装，设备安装过程中会产生噪声、施工人员生活污水和少量固废。</w:t>
            </w:r>
          </w:p>
          <w:p w14:paraId="2D69694D">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 w:val="0"/>
                <w:bCs/>
                <w:color w:val="auto"/>
                <w:sz w:val="24"/>
                <w:szCs w:val="24"/>
                <w:highlight w:val="none"/>
                <w:lang w:val="en-US" w:eastAsia="zh-CN"/>
              </w:rPr>
            </w:pPr>
            <w:r>
              <w:rPr>
                <w:rFonts w:hint="eastAsia" w:ascii="Times New Roman" w:hAnsi="Times New Roman" w:eastAsia="宋体" w:cs="Times New Roman"/>
                <w:b w:val="0"/>
                <w:bCs/>
                <w:color w:val="auto"/>
                <w:sz w:val="24"/>
                <w:szCs w:val="24"/>
                <w:highlight w:val="none"/>
                <w:lang w:val="en-US" w:eastAsia="zh-CN"/>
              </w:rPr>
              <w:t>2.运营期</w:t>
            </w:r>
          </w:p>
          <w:p w14:paraId="22C4AB43">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大气污染环节</w:t>
            </w:r>
          </w:p>
          <w:p w14:paraId="4DB9BB3F">
            <w:pPr>
              <w:keepNext w:val="0"/>
              <w:keepLines w:val="0"/>
              <w:pageBreakBefore w:val="0"/>
              <w:widowControl w:val="0"/>
              <w:kinsoku/>
              <w:wordWrap/>
              <w:overflowPunct/>
              <w:topLinePunct w:val="0"/>
              <w:bidi w:val="0"/>
              <w:spacing w:line="480" w:lineRule="exact"/>
              <w:ind w:firstLine="480" w:firstLineChars="200"/>
              <w:textAlignment w:val="auto"/>
              <w:rPr>
                <w:rFonts w:hint="default" w:cs="Times New Roman"/>
                <w:color w:val="auto"/>
                <w:sz w:val="24"/>
                <w:highlight w:val="none"/>
                <w:lang w:val="en-US" w:eastAsia="zh-CN"/>
              </w:rPr>
            </w:pPr>
            <w:r>
              <w:rPr>
                <w:rFonts w:hint="default" w:ascii="Times New Roman" w:hAnsi="Times New Roman" w:cs="Times New Roman"/>
                <w:color w:val="auto"/>
                <w:sz w:val="24"/>
                <w:highlight w:val="none"/>
              </w:rPr>
              <w:t>G1</w:t>
            </w:r>
            <w:r>
              <w:rPr>
                <w:rFonts w:hint="eastAsia" w:cs="Times New Roman"/>
                <w:color w:val="auto"/>
                <w:sz w:val="24"/>
                <w:highlight w:val="none"/>
                <w:lang w:eastAsia="zh-CN"/>
              </w:rPr>
              <w:t>：</w:t>
            </w:r>
            <w:r>
              <w:rPr>
                <w:rFonts w:hint="eastAsia" w:cs="Times New Roman"/>
                <w:color w:val="auto"/>
                <w:sz w:val="24"/>
                <w:highlight w:val="none"/>
                <w:lang w:val="en-US" w:eastAsia="zh-CN"/>
              </w:rPr>
              <w:t>锅炉烟气（颗粒物、二氧化硫、氮氧化物、林格曼黑度）。</w:t>
            </w:r>
          </w:p>
          <w:p w14:paraId="1FBC0B2F">
            <w:pPr>
              <w:keepNext w:val="0"/>
              <w:keepLines w:val="0"/>
              <w:pageBreakBefore w:val="0"/>
              <w:widowControl w:val="0"/>
              <w:kinsoku/>
              <w:wordWrap/>
              <w:overflowPunct/>
              <w:topLinePunct w:val="0"/>
              <w:bidi w:val="0"/>
              <w:spacing w:line="480" w:lineRule="exact"/>
              <w:ind w:firstLine="480" w:firstLineChars="200"/>
              <w:textAlignment w:val="auto"/>
              <w:rPr>
                <w:rFonts w:hint="eastAsia"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（2）</w:t>
            </w:r>
            <w:r>
              <w:rPr>
                <w:rFonts w:hint="eastAsia" w:cs="Times New Roman"/>
                <w:bCs/>
                <w:color w:val="auto"/>
                <w:sz w:val="24"/>
                <w:szCs w:val="24"/>
                <w:highlight w:val="none"/>
                <w:lang w:val="en-US" w:eastAsia="zh-CN"/>
              </w:rPr>
              <w:t>水污染环节</w:t>
            </w:r>
          </w:p>
          <w:p w14:paraId="2C4B1C51">
            <w:pPr>
              <w:keepNext w:val="0"/>
              <w:keepLines w:val="0"/>
              <w:pageBreakBefore w:val="0"/>
              <w:widowControl w:val="0"/>
              <w:kinsoku/>
              <w:wordWrap/>
              <w:overflowPunct/>
              <w:topLinePunct w:val="0"/>
              <w:bidi w:val="0"/>
              <w:spacing w:line="480" w:lineRule="exact"/>
              <w:ind w:firstLine="480" w:firstLineChars="200"/>
              <w:textAlignment w:val="auto"/>
              <w:rPr>
                <w:rFonts w:hint="eastAsia" w:cs="Times New Roman"/>
                <w:bCs/>
                <w:color w:val="auto"/>
                <w:sz w:val="24"/>
                <w:szCs w:val="24"/>
                <w:highlight w:val="none"/>
                <w:lang w:val="en-US" w:eastAsia="zh-CN"/>
              </w:rPr>
            </w:pPr>
            <w:r>
              <w:rPr>
                <w:rFonts w:hint="eastAsia" w:cs="Times New Roman"/>
                <w:bCs/>
                <w:color w:val="auto"/>
                <w:sz w:val="24"/>
                <w:szCs w:val="24"/>
                <w:highlight w:val="none"/>
                <w:lang w:val="en-US" w:eastAsia="zh-CN"/>
              </w:rPr>
              <w:t>W1：锅炉排污水；</w:t>
            </w:r>
          </w:p>
          <w:p w14:paraId="0A1DDABA">
            <w:pPr>
              <w:keepNext w:val="0"/>
              <w:keepLines w:val="0"/>
              <w:pageBreakBefore w:val="0"/>
              <w:widowControl w:val="0"/>
              <w:kinsoku/>
              <w:wordWrap/>
              <w:overflowPunct/>
              <w:topLinePunct w:val="0"/>
              <w:bidi w:val="0"/>
              <w:spacing w:line="480" w:lineRule="exact"/>
              <w:ind w:firstLine="480" w:firstLineChars="200"/>
              <w:textAlignment w:val="auto"/>
              <w:rPr>
                <w:rFonts w:hint="default" w:cs="Times New Roman"/>
                <w:bCs/>
                <w:color w:val="auto"/>
                <w:sz w:val="24"/>
                <w:szCs w:val="24"/>
                <w:highlight w:val="none"/>
                <w:lang w:val="en-US" w:eastAsia="zh-CN"/>
              </w:rPr>
            </w:pPr>
            <w:r>
              <w:rPr>
                <w:rFonts w:hint="eastAsia" w:cs="Times New Roman"/>
                <w:bCs/>
                <w:color w:val="auto"/>
                <w:sz w:val="24"/>
                <w:szCs w:val="24"/>
                <w:highlight w:val="none"/>
                <w:lang w:val="en-US" w:eastAsia="zh-CN"/>
              </w:rPr>
              <w:t>W2：软化水制备废水。</w:t>
            </w:r>
          </w:p>
          <w:p w14:paraId="03606A2F">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bCs/>
                <w:color w:val="auto"/>
                <w:sz w:val="24"/>
                <w:szCs w:val="24"/>
                <w:highlight w:val="none"/>
                <w:lang w:val="en-US" w:eastAsia="zh-CN"/>
              </w:rPr>
              <w:t>（3）</w:t>
            </w:r>
            <w:r>
              <w:rPr>
                <w:rFonts w:hint="default" w:ascii="Times New Roman" w:hAnsi="Times New Roman" w:eastAsia="宋体" w:cs="Times New Roman"/>
                <w:bCs/>
                <w:color w:val="auto"/>
                <w:sz w:val="24"/>
                <w:szCs w:val="24"/>
                <w:highlight w:val="none"/>
                <w:lang w:val="en-US" w:eastAsia="zh-CN"/>
              </w:rPr>
              <w:t>噪声污染</w:t>
            </w:r>
            <w:r>
              <w:rPr>
                <w:rFonts w:hint="eastAsia" w:ascii="Times New Roman" w:hAnsi="Times New Roman" w:eastAsia="宋体" w:cs="Times New Roman"/>
                <w:bCs/>
                <w:color w:val="auto"/>
                <w:sz w:val="24"/>
                <w:szCs w:val="24"/>
                <w:highlight w:val="none"/>
                <w:lang w:val="en-US" w:eastAsia="zh-CN"/>
              </w:rPr>
              <w:t>环节</w:t>
            </w:r>
          </w:p>
          <w:p w14:paraId="1E5AE5F7">
            <w:pPr>
              <w:keepNext w:val="0"/>
              <w:keepLines w:val="0"/>
              <w:pageBreakBefore w:val="0"/>
              <w:widowControl w:val="0"/>
              <w:kinsoku/>
              <w:wordWrap/>
              <w:overflowPunct/>
              <w:topLinePunct w:val="0"/>
              <w:bidi w:val="0"/>
              <w:spacing w:line="480" w:lineRule="exact"/>
              <w:ind w:firstLine="480" w:firstLineChars="200"/>
              <w:textAlignment w:val="auto"/>
              <w:rPr>
                <w:rFonts w:hint="eastAsia"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本项目噪声源主要为</w:t>
            </w:r>
            <w:r>
              <w:rPr>
                <w:rFonts w:hint="eastAsia" w:cs="Times New Roman"/>
                <w:bCs/>
                <w:color w:val="auto"/>
                <w:sz w:val="24"/>
                <w:szCs w:val="24"/>
                <w:highlight w:val="none"/>
                <w:lang w:val="en-US" w:eastAsia="zh-CN"/>
              </w:rPr>
              <w:t>循环泵、补水泵等</w:t>
            </w:r>
            <w:r>
              <w:rPr>
                <w:rFonts w:hint="default" w:ascii="Times New Roman" w:hAnsi="Times New Roman" w:eastAsia="宋体" w:cs="Times New Roman"/>
                <w:bCs/>
                <w:color w:val="auto"/>
                <w:sz w:val="24"/>
                <w:szCs w:val="24"/>
                <w:highlight w:val="none"/>
                <w:lang w:val="en-US" w:eastAsia="zh-CN"/>
              </w:rPr>
              <w:t>产生的噪声</w:t>
            </w:r>
            <w:r>
              <w:rPr>
                <w:rFonts w:hint="eastAsia" w:ascii="Times New Roman" w:hAnsi="Times New Roman" w:eastAsia="宋体" w:cs="Times New Roman"/>
                <w:bCs/>
                <w:color w:val="auto"/>
                <w:sz w:val="24"/>
                <w:szCs w:val="24"/>
                <w:highlight w:val="none"/>
                <w:lang w:val="en-US" w:eastAsia="zh-CN"/>
              </w:rPr>
              <w:t>。</w:t>
            </w:r>
          </w:p>
          <w:p w14:paraId="60400C4B">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w:t>
            </w:r>
            <w:r>
              <w:rPr>
                <w:rFonts w:hint="eastAsia" w:cs="Times New Roman"/>
                <w:bCs/>
                <w:color w:val="auto"/>
                <w:sz w:val="24"/>
                <w:szCs w:val="24"/>
                <w:highlight w:val="none"/>
                <w:lang w:val="en-US" w:eastAsia="zh-CN"/>
              </w:rPr>
              <w:t>4</w:t>
            </w:r>
            <w:r>
              <w:rPr>
                <w:rFonts w:hint="default" w:ascii="Times New Roman" w:hAnsi="Times New Roman" w:eastAsia="宋体" w:cs="Times New Roman"/>
                <w:bCs/>
                <w:color w:val="auto"/>
                <w:sz w:val="24"/>
                <w:szCs w:val="24"/>
                <w:highlight w:val="none"/>
                <w:lang w:val="en-US" w:eastAsia="zh-CN"/>
              </w:rPr>
              <w:t>）固体废物污染</w:t>
            </w:r>
            <w:r>
              <w:rPr>
                <w:rFonts w:hint="eastAsia" w:ascii="Times New Roman" w:hAnsi="Times New Roman" w:eastAsia="宋体" w:cs="Times New Roman"/>
                <w:bCs/>
                <w:color w:val="auto"/>
                <w:sz w:val="24"/>
                <w:szCs w:val="24"/>
                <w:highlight w:val="none"/>
                <w:lang w:val="en-US" w:eastAsia="zh-CN"/>
              </w:rPr>
              <w:t>环节</w:t>
            </w:r>
          </w:p>
          <w:p w14:paraId="70442062">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bCs/>
                <w:color w:val="auto"/>
                <w:sz w:val="24"/>
                <w:szCs w:val="24"/>
                <w:highlight w:val="none"/>
                <w:lang w:val="en-US" w:eastAsia="zh-CN"/>
              </w:rPr>
              <w:t>本项目固废主要为软化水制备设备产生的废离子交换树脂，由厂家定期更换后回收</w:t>
            </w:r>
            <w:r>
              <w:rPr>
                <w:rFonts w:hint="default" w:ascii="Times New Roman" w:hAnsi="Times New Roman" w:eastAsia="宋体" w:cs="Times New Roman"/>
                <w:bCs/>
                <w:color w:val="auto"/>
                <w:sz w:val="24"/>
                <w:szCs w:val="24"/>
                <w:highlight w:val="none"/>
                <w:lang w:val="en-US" w:eastAsia="zh-CN"/>
              </w:rPr>
              <w:t>。</w:t>
            </w:r>
          </w:p>
        </w:tc>
      </w:tr>
      <w:tr w14:paraId="02BFB0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41" w:type="dxa"/>
            <w:vAlign w:val="center"/>
          </w:tcPr>
          <w:p w14:paraId="20EDC1DB">
            <w:pPr>
              <w:pStyle w:val="19"/>
              <w:adjustRightInd w:val="0"/>
              <w:snapToGrid w:val="0"/>
              <w:spacing w:before="0" w:beforeAutospacing="0" w:after="0" w:afterAutospacing="0"/>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bCs/>
                <w:color w:val="auto"/>
                <w:kern w:val="2"/>
                <w:sz w:val="21"/>
                <w:szCs w:val="21"/>
                <w:highlight w:val="none"/>
              </w:rPr>
              <w:t>与项目有关的原有环境污染问题</w:t>
            </w:r>
          </w:p>
        </w:tc>
        <w:tc>
          <w:tcPr>
            <w:tcW w:w="8220" w:type="dxa"/>
            <w:vAlign w:val="center"/>
          </w:tcPr>
          <w:p w14:paraId="6D81EAEF">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w:t>
            </w:r>
            <w:r>
              <w:rPr>
                <w:rFonts w:hint="eastAsia" w:cs="Times New Roman"/>
                <w:b/>
                <w:bCs/>
                <w:color w:val="auto"/>
                <w:sz w:val="24"/>
                <w:szCs w:val="24"/>
                <w:highlight w:val="none"/>
                <w:lang w:val="en-US" w:eastAsia="zh-CN"/>
              </w:rPr>
              <w:t>9与本项目有关的</w:t>
            </w:r>
            <w:r>
              <w:rPr>
                <w:rFonts w:hint="eastAsia" w:ascii="Times New Roman" w:hAnsi="Times New Roman" w:eastAsia="宋体" w:cs="Times New Roman"/>
                <w:b/>
                <w:bCs/>
                <w:color w:val="auto"/>
                <w:sz w:val="24"/>
                <w:szCs w:val="24"/>
                <w:highlight w:val="none"/>
                <w:lang w:val="en-US" w:eastAsia="zh-CN"/>
              </w:rPr>
              <w:t>现有工程环保手续履行情况</w:t>
            </w:r>
          </w:p>
          <w:p w14:paraId="3E5509A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与本项目有关的现有工程环保手续履行情况见下表。</w:t>
            </w:r>
          </w:p>
          <w:p w14:paraId="1663D20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表2</w:t>
            </w:r>
            <w:r>
              <w:rPr>
                <w:rFonts w:hint="eastAsia" w:eastAsia="黑体" w:cs="Times New Roman"/>
                <w:b w:val="0"/>
                <w:bCs w:val="0"/>
                <w:color w:val="auto"/>
                <w:kern w:val="2"/>
                <w:sz w:val="21"/>
                <w:szCs w:val="21"/>
                <w:highlight w:val="none"/>
                <w:lang w:val="en-US" w:eastAsia="zh-CN" w:bidi="ar-SA"/>
              </w:rPr>
              <w:t>.9</w:t>
            </w:r>
            <w:r>
              <w:rPr>
                <w:rFonts w:hint="default" w:ascii="Times New Roman" w:hAnsi="Times New Roman" w:eastAsia="黑体" w:cs="Times New Roman"/>
                <w:b w:val="0"/>
                <w:bCs w:val="0"/>
                <w:color w:val="auto"/>
                <w:kern w:val="2"/>
                <w:sz w:val="21"/>
                <w:szCs w:val="21"/>
                <w:highlight w:val="none"/>
                <w:lang w:val="en-US" w:eastAsia="zh-CN" w:bidi="ar-SA"/>
              </w:rPr>
              <w:t>-</w:t>
            </w:r>
            <w:r>
              <w:rPr>
                <w:rFonts w:hint="eastAsia" w:eastAsia="黑体" w:cs="Times New Roman"/>
                <w:b w:val="0"/>
                <w:bCs w:val="0"/>
                <w:color w:val="auto"/>
                <w:kern w:val="2"/>
                <w:sz w:val="21"/>
                <w:szCs w:val="21"/>
                <w:highlight w:val="none"/>
                <w:lang w:val="en-US" w:eastAsia="zh-CN" w:bidi="ar-SA"/>
              </w:rPr>
              <w:t>1</w:t>
            </w:r>
            <w:r>
              <w:rPr>
                <w:rFonts w:hint="default" w:ascii="Times New Roman" w:hAnsi="Times New Roman" w:eastAsia="黑体" w:cs="Times New Roman"/>
                <w:b w:val="0"/>
                <w:bCs w:val="0"/>
                <w:color w:val="auto"/>
                <w:kern w:val="2"/>
                <w:sz w:val="21"/>
                <w:szCs w:val="21"/>
                <w:highlight w:val="none"/>
                <w:lang w:val="en-US" w:eastAsia="zh-CN" w:bidi="ar-SA"/>
              </w:rPr>
              <w:t xml:space="preserve">  现有工程环保手续履行情况</w:t>
            </w:r>
            <w:r>
              <w:rPr>
                <w:rFonts w:hint="eastAsia" w:eastAsia="黑体" w:cs="Times New Roman"/>
                <w:b w:val="0"/>
                <w:bCs w:val="0"/>
                <w:color w:val="auto"/>
                <w:kern w:val="2"/>
                <w:sz w:val="21"/>
                <w:szCs w:val="21"/>
                <w:highlight w:val="none"/>
                <w:lang w:val="en-US" w:eastAsia="zh-CN" w:bidi="ar-SA"/>
              </w:rPr>
              <w:t>表</w:t>
            </w:r>
          </w:p>
          <w:tbl>
            <w:tblPr>
              <w:tblStyle w:val="25"/>
              <w:tblW w:w="7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451"/>
              <w:gridCol w:w="1666"/>
              <w:gridCol w:w="2019"/>
              <w:gridCol w:w="1755"/>
            </w:tblGrid>
            <w:tr w14:paraId="1AEF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106" w:type="dxa"/>
                  <w:vAlign w:val="center"/>
                </w:tcPr>
                <w:p w14:paraId="56BEEB02">
                  <w:pPr>
                    <w:adjustRightInd w:val="0"/>
                    <w:spacing w:line="280" w:lineRule="exact"/>
                    <w:ind w:firstLine="0" w:firstLineChars="0"/>
                    <w:jc w:val="center"/>
                    <w:textAlignment w:val="baseline"/>
                    <w:rPr>
                      <w:rFonts w:hint="eastAsia" w:eastAsia="宋体"/>
                      <w:snapToGrid w:val="0"/>
                      <w:color w:val="auto"/>
                      <w:kern w:val="0"/>
                      <w:sz w:val="21"/>
                      <w:szCs w:val="21"/>
                      <w:lang w:eastAsia="zh-CN"/>
                    </w:rPr>
                  </w:pPr>
                  <w:r>
                    <w:rPr>
                      <w:rFonts w:hint="eastAsia"/>
                      <w:snapToGrid w:val="0"/>
                      <w:color w:val="auto"/>
                      <w:kern w:val="0"/>
                      <w:sz w:val="21"/>
                      <w:szCs w:val="21"/>
                      <w:lang w:val="en-US" w:eastAsia="zh-CN"/>
                    </w:rPr>
                    <w:t>建设时间</w:t>
                  </w:r>
                </w:p>
              </w:tc>
              <w:tc>
                <w:tcPr>
                  <w:tcW w:w="1451" w:type="dxa"/>
                  <w:vAlign w:val="center"/>
                </w:tcPr>
                <w:p w14:paraId="0EA125AC">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工程内容</w:t>
                  </w:r>
                </w:p>
              </w:tc>
              <w:tc>
                <w:tcPr>
                  <w:tcW w:w="1666" w:type="dxa"/>
                  <w:vAlign w:val="center"/>
                </w:tcPr>
                <w:p w14:paraId="1731D220">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主要工程内容</w:t>
                  </w:r>
                </w:p>
              </w:tc>
              <w:tc>
                <w:tcPr>
                  <w:tcW w:w="2019" w:type="dxa"/>
                  <w:vAlign w:val="center"/>
                </w:tcPr>
                <w:p w14:paraId="06895C49">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环评批复情况</w:t>
                  </w:r>
                </w:p>
              </w:tc>
              <w:tc>
                <w:tcPr>
                  <w:tcW w:w="1755" w:type="dxa"/>
                  <w:vAlign w:val="center"/>
                </w:tcPr>
                <w:p w14:paraId="3851636D">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验收情况</w:t>
                  </w:r>
                </w:p>
              </w:tc>
            </w:tr>
            <w:tr w14:paraId="77DD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trPr>
              <w:tc>
                <w:tcPr>
                  <w:tcW w:w="1106" w:type="dxa"/>
                  <w:shd w:val="clear" w:color="auto" w:fill="auto"/>
                  <w:vAlign w:val="center"/>
                </w:tcPr>
                <w:p w14:paraId="3889E348">
                  <w:pPr>
                    <w:adjustRightInd w:val="0"/>
                    <w:spacing w:line="280" w:lineRule="exact"/>
                    <w:ind w:firstLine="0" w:firstLineChars="0"/>
                    <w:jc w:val="center"/>
                    <w:textAlignment w:val="baseline"/>
                    <w:rPr>
                      <w:rFonts w:hint="eastAsia"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2003-2006</w:t>
                  </w:r>
                </w:p>
              </w:tc>
              <w:tc>
                <w:tcPr>
                  <w:tcW w:w="1451" w:type="dxa"/>
                  <w:shd w:val="clear" w:color="auto" w:fill="auto"/>
                  <w:vAlign w:val="center"/>
                </w:tcPr>
                <w:p w14:paraId="5CE7BD50">
                  <w:pPr>
                    <w:adjustRightInd w:val="0"/>
                    <w:spacing w:line="280" w:lineRule="exact"/>
                    <w:ind w:firstLine="0" w:firstLineChars="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山西晋城无烟煤矿业集团有限责任公司赵庄矿井与选煤厂</w:t>
                  </w:r>
                </w:p>
              </w:tc>
              <w:tc>
                <w:tcPr>
                  <w:tcW w:w="1666" w:type="dxa"/>
                  <w:shd w:val="clear" w:color="auto" w:fill="auto"/>
                  <w:vAlign w:val="center"/>
                </w:tcPr>
                <w:p w14:paraId="1A19570B">
                  <w:pPr>
                    <w:adjustRightInd w:val="0"/>
                    <w:spacing w:line="280" w:lineRule="exact"/>
                    <w:ind w:firstLine="0" w:firstLineChars="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新建600万吨/年矿井及配套选煤厂</w:t>
                  </w:r>
                </w:p>
              </w:tc>
              <w:tc>
                <w:tcPr>
                  <w:tcW w:w="2019" w:type="dxa"/>
                  <w:shd w:val="clear" w:color="auto" w:fill="auto"/>
                  <w:vAlign w:val="center"/>
                </w:tcPr>
                <w:p w14:paraId="31DCF95D">
                  <w:pPr>
                    <w:adjustRightInd w:val="0"/>
                    <w:spacing w:line="280" w:lineRule="exact"/>
                    <w:ind w:firstLine="0" w:firstLineChars="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2003年10月，原国家环境保护总局以环审</w:t>
                  </w:r>
                  <w:r>
                    <w:rPr>
                      <w:snapToGrid w:val="0"/>
                      <w:color w:val="auto"/>
                      <w:kern w:val="0"/>
                      <w:sz w:val="21"/>
                      <w:szCs w:val="21"/>
                    </w:rPr>
                    <w:t>〔20</w:t>
                  </w:r>
                  <w:r>
                    <w:rPr>
                      <w:rFonts w:hint="eastAsia"/>
                      <w:snapToGrid w:val="0"/>
                      <w:color w:val="auto"/>
                      <w:kern w:val="0"/>
                      <w:sz w:val="21"/>
                      <w:szCs w:val="21"/>
                      <w:lang w:val="en-US" w:eastAsia="zh-CN"/>
                    </w:rPr>
                    <w:t>03</w:t>
                  </w:r>
                  <w:r>
                    <w:rPr>
                      <w:snapToGrid w:val="0"/>
                      <w:color w:val="auto"/>
                      <w:kern w:val="0"/>
                      <w:sz w:val="21"/>
                      <w:szCs w:val="21"/>
                    </w:rPr>
                    <w:t>〕</w:t>
                  </w:r>
                  <w:r>
                    <w:rPr>
                      <w:rFonts w:hint="eastAsia"/>
                      <w:snapToGrid w:val="0"/>
                      <w:color w:val="auto"/>
                      <w:kern w:val="0"/>
                      <w:sz w:val="21"/>
                      <w:szCs w:val="21"/>
                      <w:lang w:val="en-US" w:eastAsia="zh-CN"/>
                    </w:rPr>
                    <w:t>285号出具了审查意见的复函</w:t>
                  </w:r>
                </w:p>
              </w:tc>
              <w:tc>
                <w:tcPr>
                  <w:tcW w:w="1755" w:type="dxa"/>
                  <w:shd w:val="clear" w:color="auto" w:fill="auto"/>
                  <w:vAlign w:val="center"/>
                </w:tcPr>
                <w:p w14:paraId="53C14300">
                  <w:pPr>
                    <w:adjustRightInd w:val="0"/>
                    <w:spacing w:line="280" w:lineRule="exact"/>
                    <w:ind w:firstLine="0" w:firstLineChars="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eastAsia"/>
                      <w:snapToGrid w:val="0"/>
                      <w:color w:val="auto"/>
                      <w:kern w:val="0"/>
                      <w:sz w:val="21"/>
                      <w:szCs w:val="21"/>
                      <w:lang w:val="en-US" w:eastAsia="zh-CN"/>
                    </w:rPr>
                    <w:t>2006年11月，原国家环境保护总局以环验[2006]222号通过验收</w:t>
                  </w:r>
                </w:p>
              </w:tc>
            </w:tr>
            <w:tr w14:paraId="363A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1106" w:type="dxa"/>
                  <w:vAlign w:val="center"/>
                </w:tcPr>
                <w:p w14:paraId="346608F1">
                  <w:pPr>
                    <w:adjustRightInd w:val="0"/>
                    <w:spacing w:line="280" w:lineRule="exact"/>
                    <w:ind w:firstLine="0" w:firstLineChars="0"/>
                    <w:jc w:val="center"/>
                    <w:textAlignment w:val="baseline"/>
                    <w:rPr>
                      <w:rFonts w:hint="default" w:eastAsia="宋体"/>
                      <w:snapToGrid w:val="0"/>
                      <w:color w:val="auto"/>
                      <w:kern w:val="0"/>
                      <w:sz w:val="21"/>
                      <w:szCs w:val="21"/>
                      <w:lang w:val="en-US" w:eastAsia="zh-CN"/>
                    </w:rPr>
                  </w:pPr>
                  <w:r>
                    <w:rPr>
                      <w:rFonts w:hint="eastAsia"/>
                      <w:snapToGrid w:val="0"/>
                      <w:color w:val="auto"/>
                      <w:kern w:val="0"/>
                      <w:sz w:val="21"/>
                      <w:szCs w:val="21"/>
                      <w:lang w:val="en-US" w:eastAsia="zh-CN"/>
                    </w:rPr>
                    <w:t>2009-2013</w:t>
                  </w:r>
                </w:p>
              </w:tc>
              <w:tc>
                <w:tcPr>
                  <w:tcW w:w="1451" w:type="dxa"/>
                  <w:vAlign w:val="center"/>
                </w:tcPr>
                <w:p w14:paraId="0B5E6804">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山西晋煤集团赵庄煤业有限责任公司8.00Mt/a产能释放工程</w:t>
                  </w:r>
                </w:p>
              </w:tc>
              <w:tc>
                <w:tcPr>
                  <w:tcW w:w="1666" w:type="dxa"/>
                  <w:vAlign w:val="center"/>
                </w:tcPr>
                <w:p w14:paraId="6B38F0BA">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工业场地、1号矸石场、西范风井场地、张店风井场地，开采3#煤层、洗煤厂</w:t>
                  </w:r>
                </w:p>
              </w:tc>
              <w:tc>
                <w:tcPr>
                  <w:tcW w:w="2019" w:type="dxa"/>
                  <w:vAlign w:val="center"/>
                </w:tcPr>
                <w:p w14:paraId="120E0B5F">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2012年4月，</w:t>
                  </w:r>
                  <w:r>
                    <w:rPr>
                      <w:rFonts w:hint="default"/>
                      <w:snapToGrid w:val="0"/>
                      <w:color w:val="auto"/>
                      <w:kern w:val="0"/>
                      <w:sz w:val="21"/>
                      <w:szCs w:val="21"/>
                      <w:lang w:val="en-US" w:eastAsia="zh-CN"/>
                    </w:rPr>
                    <w:t>原中华人民共和国环境保护部</w:t>
                  </w:r>
                  <w:r>
                    <w:rPr>
                      <w:snapToGrid w:val="0"/>
                      <w:color w:val="auto"/>
                      <w:kern w:val="0"/>
                      <w:sz w:val="21"/>
                      <w:szCs w:val="21"/>
                    </w:rPr>
                    <w:t>以环审〔2012〕111号进行了批复</w:t>
                  </w:r>
                </w:p>
              </w:tc>
              <w:tc>
                <w:tcPr>
                  <w:tcW w:w="1755" w:type="dxa"/>
                  <w:vAlign w:val="center"/>
                </w:tcPr>
                <w:p w14:paraId="48FC2D05">
                  <w:pPr>
                    <w:adjustRightInd w:val="0"/>
                    <w:spacing w:line="280" w:lineRule="exact"/>
                    <w:ind w:firstLine="0" w:firstLineChars="0"/>
                    <w:jc w:val="center"/>
                    <w:textAlignment w:val="baseline"/>
                    <w:rPr>
                      <w:snapToGrid w:val="0"/>
                      <w:color w:val="auto"/>
                      <w:kern w:val="0"/>
                      <w:sz w:val="21"/>
                      <w:szCs w:val="21"/>
                    </w:rPr>
                  </w:pPr>
                  <w:r>
                    <w:rPr>
                      <w:snapToGrid w:val="0"/>
                      <w:color w:val="auto"/>
                      <w:kern w:val="0"/>
                      <w:sz w:val="21"/>
                      <w:szCs w:val="21"/>
                    </w:rPr>
                    <w:t>201</w:t>
                  </w:r>
                  <w:r>
                    <w:rPr>
                      <w:rFonts w:hint="eastAsia"/>
                      <w:snapToGrid w:val="0"/>
                      <w:color w:val="auto"/>
                      <w:kern w:val="0"/>
                      <w:sz w:val="21"/>
                      <w:szCs w:val="21"/>
                      <w:lang w:val="en-US" w:eastAsia="zh-CN"/>
                    </w:rPr>
                    <w:t>3</w:t>
                  </w:r>
                  <w:r>
                    <w:rPr>
                      <w:snapToGrid w:val="0"/>
                      <w:color w:val="auto"/>
                      <w:kern w:val="0"/>
                      <w:sz w:val="21"/>
                      <w:szCs w:val="21"/>
                    </w:rPr>
                    <w:t>年</w:t>
                  </w:r>
                  <w:r>
                    <w:rPr>
                      <w:rFonts w:hint="eastAsia"/>
                      <w:snapToGrid w:val="0"/>
                      <w:color w:val="auto"/>
                      <w:kern w:val="0"/>
                      <w:sz w:val="21"/>
                      <w:szCs w:val="21"/>
                      <w:lang w:val="en-US" w:eastAsia="zh-CN"/>
                    </w:rPr>
                    <w:t>5</w:t>
                  </w:r>
                  <w:r>
                    <w:rPr>
                      <w:snapToGrid w:val="0"/>
                      <w:color w:val="auto"/>
                      <w:kern w:val="0"/>
                      <w:sz w:val="21"/>
                      <w:szCs w:val="21"/>
                    </w:rPr>
                    <w:t>月，</w:t>
                  </w:r>
                  <w:r>
                    <w:rPr>
                      <w:rFonts w:hint="default"/>
                      <w:snapToGrid w:val="0"/>
                      <w:color w:val="auto"/>
                      <w:kern w:val="0"/>
                      <w:sz w:val="21"/>
                      <w:szCs w:val="21"/>
                      <w:lang w:val="en-US" w:eastAsia="zh-CN"/>
                    </w:rPr>
                    <w:t>原中华人民共和国环境保护部</w:t>
                  </w:r>
                  <w:r>
                    <w:rPr>
                      <w:snapToGrid w:val="0"/>
                      <w:color w:val="auto"/>
                      <w:kern w:val="0"/>
                      <w:sz w:val="21"/>
                      <w:szCs w:val="21"/>
                    </w:rPr>
                    <w:t>以</w:t>
                  </w:r>
                  <w:r>
                    <w:rPr>
                      <w:rFonts w:hint="eastAsia"/>
                      <w:snapToGrid w:val="0"/>
                      <w:color w:val="auto"/>
                      <w:kern w:val="0"/>
                      <w:sz w:val="21"/>
                      <w:szCs w:val="21"/>
                      <w:lang w:val="en-US" w:eastAsia="zh-CN"/>
                    </w:rPr>
                    <w:t>环验</w:t>
                  </w:r>
                  <w:r>
                    <w:rPr>
                      <w:snapToGrid w:val="0"/>
                      <w:color w:val="auto"/>
                      <w:kern w:val="0"/>
                      <w:sz w:val="21"/>
                      <w:szCs w:val="21"/>
                    </w:rPr>
                    <w:t>〔2013〕103号进行了验收批复</w:t>
                  </w:r>
                </w:p>
              </w:tc>
            </w:tr>
            <w:tr w14:paraId="5B1C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9" w:hRule="atLeast"/>
              </w:trPr>
              <w:tc>
                <w:tcPr>
                  <w:tcW w:w="1106" w:type="dxa"/>
                  <w:vAlign w:val="center"/>
                </w:tcPr>
                <w:p w14:paraId="7ECDE3B1">
                  <w:pPr>
                    <w:adjustRightInd w:val="0"/>
                    <w:spacing w:line="280" w:lineRule="exact"/>
                    <w:ind w:firstLine="0" w:firstLineChars="0"/>
                    <w:jc w:val="center"/>
                    <w:textAlignment w:val="baseline"/>
                    <w:rPr>
                      <w:rFonts w:hint="default" w:eastAsia="宋体"/>
                      <w:snapToGrid w:val="0"/>
                      <w:color w:val="auto"/>
                      <w:kern w:val="0"/>
                      <w:sz w:val="21"/>
                      <w:szCs w:val="21"/>
                      <w:highlight w:val="none"/>
                      <w:lang w:val="en-US" w:eastAsia="zh-CN"/>
                    </w:rPr>
                  </w:pPr>
                  <w:r>
                    <w:rPr>
                      <w:rFonts w:hint="eastAsia"/>
                      <w:snapToGrid w:val="0"/>
                      <w:color w:val="auto"/>
                      <w:kern w:val="0"/>
                      <w:sz w:val="21"/>
                      <w:szCs w:val="21"/>
                      <w:highlight w:val="none"/>
                      <w:lang w:val="en-US" w:eastAsia="zh-CN"/>
                    </w:rPr>
                    <w:t>2022-</w:t>
                  </w:r>
                </w:p>
              </w:tc>
              <w:tc>
                <w:tcPr>
                  <w:tcW w:w="1451" w:type="dxa"/>
                  <w:vAlign w:val="center"/>
                </w:tcPr>
                <w:p w14:paraId="58EF2CC8">
                  <w:pPr>
                    <w:adjustRightInd w:val="0"/>
                    <w:spacing w:line="280" w:lineRule="exact"/>
                    <w:ind w:firstLine="0" w:firstLineChars="0"/>
                    <w:jc w:val="center"/>
                    <w:textAlignment w:val="baseline"/>
                    <w:rPr>
                      <w:color w:val="auto"/>
                      <w:kern w:val="0"/>
                      <w:sz w:val="21"/>
                      <w:szCs w:val="21"/>
                    </w:rPr>
                  </w:pPr>
                  <w:r>
                    <w:rPr>
                      <w:color w:val="auto"/>
                      <w:kern w:val="0"/>
                      <w:sz w:val="21"/>
                      <w:szCs w:val="21"/>
                    </w:rPr>
                    <w:t>山西晋城无烟煤矿业集团有限责任公司赵庄煤业15号煤配采工程</w:t>
                  </w:r>
                </w:p>
              </w:tc>
              <w:tc>
                <w:tcPr>
                  <w:tcW w:w="1666" w:type="dxa"/>
                  <w:vAlign w:val="center"/>
                </w:tcPr>
                <w:p w14:paraId="44D85B39">
                  <w:pPr>
                    <w:adjustRightInd w:val="0"/>
                    <w:spacing w:line="280" w:lineRule="exact"/>
                    <w:ind w:firstLine="0" w:firstLineChars="0"/>
                    <w:jc w:val="center"/>
                    <w:textAlignment w:val="baseline"/>
                    <w:rPr>
                      <w:bCs/>
                      <w:snapToGrid w:val="0"/>
                      <w:color w:val="auto"/>
                      <w:spacing w:val="-12"/>
                    </w:rPr>
                  </w:pPr>
                  <w:r>
                    <w:rPr>
                      <w:bCs/>
                      <w:snapToGrid w:val="0"/>
                      <w:color w:val="auto"/>
                      <w:spacing w:val="-12"/>
                    </w:rPr>
                    <w:t>15号煤配采工程</w:t>
                  </w:r>
                </w:p>
              </w:tc>
              <w:tc>
                <w:tcPr>
                  <w:tcW w:w="2019" w:type="dxa"/>
                  <w:vAlign w:val="center"/>
                </w:tcPr>
                <w:p w14:paraId="05DA07E6">
                  <w:pPr>
                    <w:adjustRightInd w:val="0"/>
                    <w:spacing w:line="280" w:lineRule="exact"/>
                    <w:ind w:firstLine="0" w:firstLineChars="0"/>
                    <w:jc w:val="center"/>
                    <w:textAlignment w:val="baseline"/>
                    <w:rPr>
                      <w:rFonts w:hint="default" w:eastAsia="宋体"/>
                      <w:snapToGrid w:val="0"/>
                      <w:color w:val="auto"/>
                      <w:kern w:val="0"/>
                      <w:sz w:val="21"/>
                      <w:szCs w:val="21"/>
                      <w:lang w:val="en-US" w:eastAsia="zh-CN"/>
                    </w:rPr>
                  </w:pPr>
                  <w:r>
                    <w:rPr>
                      <w:rFonts w:hint="eastAsia"/>
                      <w:snapToGrid w:val="0"/>
                      <w:color w:val="auto"/>
                      <w:kern w:val="0"/>
                      <w:sz w:val="21"/>
                      <w:szCs w:val="21"/>
                      <w:lang w:val="en-US" w:eastAsia="zh-CN"/>
                    </w:rPr>
                    <w:t>2022年10月，长治市生态环境局长子分局以长子环函[2022]47号进行了批复</w:t>
                  </w:r>
                </w:p>
              </w:tc>
              <w:tc>
                <w:tcPr>
                  <w:tcW w:w="1755" w:type="dxa"/>
                  <w:vAlign w:val="center"/>
                </w:tcPr>
                <w:p w14:paraId="6DD4BBDF">
                  <w:pPr>
                    <w:adjustRightInd w:val="0"/>
                    <w:spacing w:line="280" w:lineRule="exact"/>
                    <w:ind w:firstLine="0" w:firstLineChars="0"/>
                    <w:jc w:val="center"/>
                    <w:textAlignment w:val="baseline"/>
                    <w:rPr>
                      <w:rFonts w:hint="default" w:eastAsia="宋体"/>
                      <w:snapToGrid w:val="0"/>
                      <w:color w:val="auto"/>
                      <w:kern w:val="0"/>
                      <w:sz w:val="21"/>
                      <w:szCs w:val="21"/>
                      <w:lang w:val="en-US" w:eastAsia="zh-CN"/>
                    </w:rPr>
                  </w:pPr>
                  <w:r>
                    <w:rPr>
                      <w:rFonts w:hint="eastAsia"/>
                      <w:snapToGrid w:val="0"/>
                      <w:color w:val="auto"/>
                      <w:kern w:val="0"/>
                      <w:sz w:val="21"/>
                      <w:szCs w:val="21"/>
                      <w:lang w:val="en-US" w:eastAsia="zh-CN"/>
                    </w:rPr>
                    <w:t>正在建设中</w:t>
                  </w:r>
                </w:p>
              </w:tc>
            </w:tr>
          </w:tbl>
          <w:p w14:paraId="0A20AEC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2018年12月6日，长子县水利局以长子水办发〔2018〕93号文对《山西晋煤集团赵庄煤业有限责任公司入河排污口设置论证报告》进行了批复。</w:t>
            </w:r>
            <w:r>
              <w:rPr>
                <w:rFonts w:hint="eastAsia" w:ascii="Times New Roman" w:hAnsi="Times New Roman" w:eastAsia="宋体" w:cs="Times New Roman"/>
                <w:color w:val="auto"/>
                <w:sz w:val="24"/>
                <w:lang w:val="en-US" w:eastAsia="zh-CN"/>
              </w:rPr>
              <w:t>批准矿井水处理后部分回用，剩余矿井水COD、氨氮、总磷、氟化物、石油类符合地表水环</w:t>
            </w:r>
            <w:r>
              <w:rPr>
                <w:rFonts w:hint="default" w:ascii="Times New Roman" w:hAnsi="Times New Roman" w:eastAsia="宋体" w:cs="Times New Roman"/>
                <w:color w:val="auto"/>
                <w:sz w:val="24"/>
                <w:lang w:val="en-US" w:eastAsia="zh-CN"/>
              </w:rPr>
              <w:t>境质量Ⅲ类标准排放，</w:t>
            </w:r>
            <w:r>
              <w:rPr>
                <w:rFonts w:hint="eastAsia" w:ascii="Times New Roman" w:hAnsi="Times New Roman" w:eastAsia="宋体" w:cs="Times New Roman"/>
                <w:color w:val="auto"/>
                <w:sz w:val="24"/>
                <w:lang w:val="en-US" w:eastAsia="zh-CN"/>
              </w:rPr>
              <w:t>入河排污口位于长子县慈林镇东范村北约500m处小丹河支沟的左岸。</w:t>
            </w:r>
          </w:p>
          <w:p w14:paraId="3753FF8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2024年11月27日，由长治市生态环境局核发了山西晋煤集团赵庄煤业有限责任公司排污许可证，证书编号为：911400006966963599001Y，有效期至2029年11月26日。</w:t>
            </w:r>
          </w:p>
          <w:p w14:paraId="549CBBEA">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2.10与本项目有关的现有工程建设内容</w:t>
            </w:r>
          </w:p>
          <w:p w14:paraId="7052EACB">
            <w:pPr>
              <w:pStyle w:val="9"/>
              <w:keepNext w:val="0"/>
              <w:keepLines w:val="0"/>
              <w:pageBreakBefore w:val="0"/>
              <w:widowControl/>
              <w:kinsoku/>
              <w:wordWrap/>
              <w:overflowPunct/>
              <w:topLinePunct w:val="0"/>
              <w:autoSpaceDE/>
              <w:autoSpaceDN/>
              <w:bidi w:val="0"/>
              <w:adjustRightInd w:val="0"/>
              <w:snapToGrid w:val="0"/>
              <w:spacing w:before="0" w:after="0" w:line="480" w:lineRule="exact"/>
              <w:ind w:right="113"/>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表2.1</w:t>
            </w:r>
            <w:r>
              <w:rPr>
                <w:rFonts w:hint="eastAsia" w:eastAsia="黑体" w:cs="Times New Roman"/>
                <w:color w:val="auto"/>
                <w:sz w:val="21"/>
                <w:szCs w:val="21"/>
                <w:lang w:val="en-US" w:eastAsia="zh-CN"/>
              </w:rPr>
              <w:t>0</w:t>
            </w:r>
            <w:r>
              <w:rPr>
                <w:rFonts w:hint="default" w:ascii="Times New Roman" w:hAnsi="Times New Roman" w:eastAsia="黑体" w:cs="Times New Roman"/>
                <w:color w:val="auto"/>
                <w:sz w:val="21"/>
                <w:szCs w:val="21"/>
                <w:lang w:val="en-US" w:eastAsia="zh-CN"/>
              </w:rPr>
              <w:t>-1  与本项目有关的现有工程</w:t>
            </w:r>
            <w:r>
              <w:rPr>
                <w:rFonts w:hint="eastAsia" w:ascii="Times New Roman" w:hAnsi="Times New Roman" w:eastAsia="黑体" w:cs="Times New Roman"/>
                <w:color w:val="auto"/>
                <w:sz w:val="21"/>
                <w:szCs w:val="21"/>
                <w:lang w:val="en-US" w:eastAsia="zh-CN"/>
              </w:rPr>
              <w:t>建设</w:t>
            </w:r>
            <w:r>
              <w:rPr>
                <w:rFonts w:hint="default" w:ascii="Times New Roman" w:hAnsi="Times New Roman" w:eastAsia="黑体" w:cs="Times New Roman"/>
                <w:color w:val="auto"/>
                <w:sz w:val="21"/>
                <w:szCs w:val="21"/>
                <w:lang w:val="en-US" w:eastAsia="zh-CN"/>
              </w:rPr>
              <w:t>内容一览表</w:t>
            </w:r>
          </w:p>
          <w:tbl>
            <w:tblPr>
              <w:tblStyle w:val="24"/>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289"/>
              <w:gridCol w:w="5233"/>
              <w:gridCol w:w="703"/>
            </w:tblGrid>
            <w:tr w14:paraId="60EC6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jc w:val="center"/>
              </w:trPr>
              <w:tc>
                <w:tcPr>
                  <w:tcW w:w="2022" w:type="dxa"/>
                  <w:gridSpan w:val="2"/>
                  <w:tcBorders>
                    <w:tl2br w:val="nil"/>
                    <w:tr2bl w:val="nil"/>
                  </w:tcBorders>
                  <w:noWrap w:val="0"/>
                  <w:vAlign w:val="center"/>
                </w:tcPr>
                <w:p w14:paraId="134B3E7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项目</w:t>
                  </w:r>
                </w:p>
              </w:tc>
              <w:tc>
                <w:tcPr>
                  <w:tcW w:w="5233" w:type="dxa"/>
                  <w:tcBorders>
                    <w:tl2br w:val="nil"/>
                    <w:tr2bl w:val="nil"/>
                  </w:tcBorders>
                  <w:noWrap w:val="0"/>
                  <w:vAlign w:val="center"/>
                </w:tcPr>
                <w:p w14:paraId="183BE7B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工程建设内容</w:t>
                  </w:r>
                </w:p>
              </w:tc>
              <w:tc>
                <w:tcPr>
                  <w:tcW w:w="703" w:type="dxa"/>
                  <w:tcBorders>
                    <w:tl2br w:val="nil"/>
                    <w:tr2bl w:val="nil"/>
                  </w:tcBorders>
                  <w:noWrap w:val="0"/>
                  <w:vAlign w:val="center"/>
                </w:tcPr>
                <w:p w14:paraId="0B6A5BE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备注</w:t>
                  </w:r>
                </w:p>
              </w:tc>
            </w:tr>
            <w:tr w14:paraId="04748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733" w:type="dxa"/>
                  <w:tcBorders>
                    <w:tl2br w:val="nil"/>
                    <w:tr2bl w:val="nil"/>
                  </w:tcBorders>
                  <w:noWrap w:val="0"/>
                  <w:vAlign w:val="center"/>
                </w:tcPr>
                <w:p w14:paraId="0B3E3D6E">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主体</w:t>
                  </w:r>
                </w:p>
                <w:p w14:paraId="392E8BE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1289" w:type="dxa"/>
                  <w:tcBorders>
                    <w:tl2br w:val="nil"/>
                    <w:tr2bl w:val="nil"/>
                  </w:tcBorders>
                  <w:noWrap w:val="0"/>
                  <w:vAlign w:val="center"/>
                </w:tcPr>
                <w:p w14:paraId="20826751">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锅炉房</w:t>
                  </w:r>
                </w:p>
              </w:tc>
              <w:tc>
                <w:tcPr>
                  <w:tcW w:w="5233" w:type="dxa"/>
                  <w:tcBorders>
                    <w:tl2br w:val="nil"/>
                    <w:tr2bl w:val="nil"/>
                  </w:tcBorders>
                  <w:noWrap w:val="0"/>
                  <w:vAlign w:val="center"/>
                </w:tcPr>
                <w:p w14:paraId="30633E1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kern w:val="0"/>
                      <w:sz w:val="21"/>
                      <w:szCs w:val="21"/>
                      <w:lang w:val="en-US" w:eastAsia="zh-CN"/>
                    </w:rPr>
                  </w:pPr>
                  <w:r>
                    <w:rPr>
                      <w:rFonts w:hint="eastAsia" w:ascii="Times New Roman" w:hAnsi="Times New Roman" w:cs="Times New Roman"/>
                      <w:color w:val="auto"/>
                      <w:highlight w:val="none"/>
                      <w:lang w:val="en-US" w:eastAsia="zh-CN"/>
                    </w:rPr>
                    <w:t>总占地</w:t>
                  </w:r>
                  <w:r>
                    <w:rPr>
                      <w:rFonts w:hint="default" w:ascii="Times New Roman" w:hAnsi="Times New Roman" w:cs="Times New Roman"/>
                      <w:color w:val="auto"/>
                      <w:highlight w:val="none"/>
                      <w:lang w:val="en-US" w:eastAsia="zh-CN"/>
                    </w:rPr>
                    <w:t>面积</w:t>
                  </w:r>
                  <w:r>
                    <w:rPr>
                      <w:rFonts w:hint="eastAsia" w:ascii="Times New Roman" w:hAnsi="Times New Roman" w:cs="Times New Roman"/>
                      <w:color w:val="auto"/>
                      <w:highlight w:val="none"/>
                      <w:lang w:val="en-US" w:eastAsia="zh-CN"/>
                    </w:rPr>
                    <w:t>7360</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2</w:t>
                  </w:r>
                  <w:r>
                    <w:rPr>
                      <w:rFonts w:hint="default" w:ascii="Times New Roman" w:hAnsi="Times New Roman" w:cs="Times New Roman"/>
                      <w:color w:val="auto"/>
                      <w:lang w:val="en-US" w:eastAsia="zh-CN"/>
                    </w:rPr>
                    <w:t>，</w:t>
                  </w:r>
                  <w:r>
                    <w:rPr>
                      <w:rFonts w:hint="eastAsia" w:cs="Times New Roman"/>
                      <w:color w:val="auto"/>
                      <w:szCs w:val="21"/>
                      <w:lang w:val="en-US" w:eastAsia="zh-CN"/>
                    </w:rPr>
                    <w:t>位于矿区中部，砖混结构，内设置</w:t>
                  </w:r>
                  <w:r>
                    <w:rPr>
                      <w:rFonts w:hint="eastAsia" w:ascii="Times New Roman" w:hAnsi="Times New Roman" w:eastAsia="宋体" w:cs="Times New Roman"/>
                      <w:color w:val="auto"/>
                      <w:szCs w:val="21"/>
                      <w:lang w:val="en-US" w:eastAsia="zh-CN"/>
                    </w:rPr>
                    <w:t>4台SZS14-1.25/115/70-Q型</w:t>
                  </w:r>
                  <w:r>
                    <w:rPr>
                      <w:rFonts w:hint="eastAsia" w:cs="Times New Roman"/>
                      <w:color w:val="auto"/>
                      <w:szCs w:val="21"/>
                      <w:lang w:val="en-US" w:eastAsia="zh-CN"/>
                    </w:rPr>
                    <w:t>燃气</w:t>
                  </w:r>
                  <w:r>
                    <w:rPr>
                      <w:rFonts w:hint="eastAsia" w:ascii="Times New Roman" w:hAnsi="Times New Roman" w:eastAsia="宋体" w:cs="Times New Roman"/>
                      <w:color w:val="auto"/>
                      <w:szCs w:val="21"/>
                      <w:lang w:val="en-US" w:eastAsia="zh-CN"/>
                    </w:rPr>
                    <w:t>热水锅炉</w:t>
                  </w:r>
                  <w:r>
                    <w:rPr>
                      <w:rFonts w:hint="eastAsia" w:cs="Times New Roman"/>
                      <w:color w:val="auto"/>
                      <w:szCs w:val="21"/>
                      <w:lang w:val="en-US" w:eastAsia="zh-CN"/>
                    </w:rPr>
                    <w:t>，均</w:t>
                  </w:r>
                  <w:r>
                    <w:rPr>
                      <w:rFonts w:hint="eastAsia" w:ascii="Times New Roman" w:hAnsi="Times New Roman" w:eastAsia="宋体" w:cs="Times New Roman"/>
                      <w:color w:val="auto"/>
                      <w:szCs w:val="21"/>
                      <w:lang w:val="en-US" w:eastAsia="zh-CN"/>
                    </w:rPr>
                    <w:t>采用低氮燃烧+烟气再循环装置</w:t>
                  </w:r>
                  <w:r>
                    <w:rPr>
                      <w:rFonts w:hint="eastAsia" w:ascii="Times New Roman" w:hAnsi="Times New Roman" w:cs="Times New Roman"/>
                      <w:color w:val="auto"/>
                      <w:szCs w:val="21"/>
                      <w:lang w:val="en-US" w:eastAsia="zh-CN"/>
                    </w:rPr>
                    <w:t>，采暖期运行</w:t>
                  </w:r>
                </w:p>
              </w:tc>
              <w:tc>
                <w:tcPr>
                  <w:tcW w:w="703" w:type="dxa"/>
                  <w:tcBorders>
                    <w:tl2br w:val="nil"/>
                    <w:tr2bl w:val="nil"/>
                  </w:tcBorders>
                  <w:noWrap w:val="0"/>
                  <w:vAlign w:val="center"/>
                </w:tcPr>
                <w:p w14:paraId="723E6D24">
                  <w:pPr>
                    <w:pStyle w:val="48"/>
                    <w:bidi w:val="0"/>
                    <w:ind w:left="0" w:leftChars="0" w:firstLine="0" w:firstLineChars="0"/>
                    <w:jc w:val="center"/>
                    <w:rPr>
                      <w:rFonts w:hint="default"/>
                      <w:color w:val="auto"/>
                      <w:lang w:val="en-US" w:eastAsia="zh-CN"/>
                    </w:rPr>
                  </w:pPr>
                </w:p>
              </w:tc>
            </w:tr>
            <w:tr w14:paraId="205C3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733" w:type="dxa"/>
                  <w:tcBorders>
                    <w:tl2br w:val="nil"/>
                    <w:tr2bl w:val="nil"/>
                  </w:tcBorders>
                  <w:noWrap w:val="0"/>
                  <w:vAlign w:val="center"/>
                </w:tcPr>
                <w:p w14:paraId="60AAF36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辅助</w:t>
                  </w:r>
                </w:p>
                <w:p w14:paraId="767B3CD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1289" w:type="dxa"/>
                  <w:tcBorders>
                    <w:tl2br w:val="nil"/>
                    <w:tr2bl w:val="nil"/>
                  </w:tcBorders>
                  <w:noWrap w:val="0"/>
                  <w:vAlign w:val="center"/>
                </w:tcPr>
                <w:p w14:paraId="56C6F38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软水制备系统</w:t>
                  </w:r>
                </w:p>
              </w:tc>
              <w:tc>
                <w:tcPr>
                  <w:tcW w:w="5233" w:type="dxa"/>
                  <w:tcBorders>
                    <w:tl2br w:val="nil"/>
                    <w:tr2bl w:val="nil"/>
                  </w:tcBorders>
                  <w:noWrap w:val="0"/>
                  <w:vAlign w:val="center"/>
                </w:tcPr>
                <w:p w14:paraId="2A2E7B9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0"/>
                      <w:sz w:val="21"/>
                      <w:szCs w:val="21"/>
                      <w:lang w:val="en-US" w:eastAsia="zh-CN"/>
                    </w:rPr>
                  </w:pPr>
                  <w:r>
                    <w:rPr>
                      <w:rFonts w:hint="eastAsia" w:cs="Times New Roman"/>
                      <w:color w:val="auto"/>
                      <w:kern w:val="0"/>
                      <w:sz w:val="21"/>
                      <w:szCs w:val="21"/>
                      <w:lang w:val="en-US" w:eastAsia="zh-CN"/>
                    </w:rPr>
                    <w:t>设4套20m</w:t>
                  </w:r>
                  <w:r>
                    <w:rPr>
                      <w:rFonts w:hint="eastAsia" w:cs="Times New Roman"/>
                      <w:color w:val="auto"/>
                      <w:kern w:val="0"/>
                      <w:sz w:val="21"/>
                      <w:szCs w:val="21"/>
                      <w:vertAlign w:val="superscript"/>
                      <w:lang w:val="en-US" w:eastAsia="zh-CN"/>
                    </w:rPr>
                    <w:t>3</w:t>
                  </w:r>
                  <w:r>
                    <w:rPr>
                      <w:rFonts w:hint="eastAsia" w:cs="Times New Roman"/>
                      <w:color w:val="auto"/>
                      <w:kern w:val="0"/>
                      <w:sz w:val="21"/>
                      <w:szCs w:val="21"/>
                      <w:lang w:val="en-US" w:eastAsia="zh-CN"/>
                    </w:rPr>
                    <w:t>/h软化水制备系统（2用2备）</w:t>
                  </w:r>
                </w:p>
              </w:tc>
              <w:tc>
                <w:tcPr>
                  <w:tcW w:w="703" w:type="dxa"/>
                  <w:tcBorders>
                    <w:tl2br w:val="nil"/>
                    <w:tr2bl w:val="nil"/>
                  </w:tcBorders>
                  <w:noWrap w:val="0"/>
                  <w:vAlign w:val="center"/>
                </w:tcPr>
                <w:p w14:paraId="27881DC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pacing w:val="-6"/>
                      <w:sz w:val="21"/>
                      <w:szCs w:val="21"/>
                      <w:lang w:val="en-US" w:eastAsia="zh-CN"/>
                    </w:rPr>
                  </w:pPr>
                </w:p>
              </w:tc>
            </w:tr>
            <w:tr w14:paraId="0852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733" w:type="dxa"/>
                  <w:vMerge w:val="restart"/>
                  <w:tcBorders>
                    <w:tl2br w:val="nil"/>
                    <w:tr2bl w:val="nil"/>
                  </w:tcBorders>
                  <w:noWrap w:val="0"/>
                  <w:vAlign w:val="center"/>
                </w:tcPr>
                <w:p w14:paraId="16C5809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公用</w:t>
                  </w:r>
                </w:p>
                <w:p w14:paraId="5CD5FEA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1289" w:type="dxa"/>
                  <w:tcBorders>
                    <w:tl2br w:val="nil"/>
                    <w:tr2bl w:val="nil"/>
                  </w:tcBorders>
                  <w:noWrap w:val="0"/>
                  <w:vAlign w:val="center"/>
                </w:tcPr>
                <w:p w14:paraId="63EF4FE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供水</w:t>
                  </w:r>
                </w:p>
              </w:tc>
              <w:tc>
                <w:tcPr>
                  <w:tcW w:w="5233" w:type="dxa"/>
                  <w:tcBorders>
                    <w:tl2br w:val="nil"/>
                    <w:tr2bl w:val="nil"/>
                  </w:tcBorders>
                  <w:noWrap w:val="0"/>
                  <w:vAlign w:val="center"/>
                </w:tcPr>
                <w:p w14:paraId="470F474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水源来自现有工程矿井水处理站处理后的矿井水</w:t>
                  </w:r>
                </w:p>
              </w:tc>
              <w:tc>
                <w:tcPr>
                  <w:tcW w:w="703" w:type="dxa"/>
                  <w:tcBorders>
                    <w:tl2br w:val="nil"/>
                    <w:tr2bl w:val="nil"/>
                  </w:tcBorders>
                  <w:noWrap w:val="0"/>
                  <w:vAlign w:val="center"/>
                </w:tcPr>
                <w:p w14:paraId="2C19214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pacing w:val="-6"/>
                      <w:sz w:val="21"/>
                      <w:szCs w:val="21"/>
                      <w:lang w:val="en-US" w:eastAsia="zh-CN"/>
                    </w:rPr>
                  </w:pPr>
                </w:p>
              </w:tc>
            </w:tr>
            <w:tr w14:paraId="0834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733" w:type="dxa"/>
                  <w:vMerge w:val="continue"/>
                  <w:tcBorders>
                    <w:tl2br w:val="nil"/>
                    <w:tr2bl w:val="nil"/>
                  </w:tcBorders>
                  <w:noWrap w:val="0"/>
                  <w:vAlign w:val="center"/>
                </w:tcPr>
                <w:p w14:paraId="44E41BA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289" w:type="dxa"/>
                  <w:tcBorders>
                    <w:tl2br w:val="nil"/>
                    <w:tr2bl w:val="nil"/>
                  </w:tcBorders>
                  <w:shd w:val="clear" w:color="auto" w:fill="auto"/>
                  <w:noWrap w:val="0"/>
                  <w:vAlign w:val="center"/>
                </w:tcPr>
                <w:p w14:paraId="024CD313">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供电</w:t>
                  </w:r>
                </w:p>
              </w:tc>
              <w:tc>
                <w:tcPr>
                  <w:tcW w:w="5233" w:type="dxa"/>
                  <w:tcBorders>
                    <w:tl2br w:val="nil"/>
                    <w:tr2bl w:val="nil"/>
                  </w:tcBorders>
                  <w:shd w:val="clear" w:color="auto" w:fill="auto"/>
                  <w:noWrap w:val="0"/>
                  <w:vAlign w:val="center"/>
                </w:tcPr>
                <w:p w14:paraId="0E2018B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电源引自</w:t>
                  </w:r>
                  <w:r>
                    <w:rPr>
                      <w:rFonts w:hint="eastAsia" w:ascii="Times New Roman" w:hAnsi="Times New Roman" w:eastAsia="宋体" w:cs="Times New Roman"/>
                      <w:color w:val="auto"/>
                      <w:kern w:val="2"/>
                      <w:sz w:val="21"/>
                      <w:szCs w:val="21"/>
                      <w:lang w:val="en-US" w:eastAsia="zh-CN" w:bidi="ar-SA"/>
                    </w:rPr>
                    <w:t>矿井35kV变电站10kV母线段</w:t>
                  </w:r>
                </w:p>
              </w:tc>
              <w:tc>
                <w:tcPr>
                  <w:tcW w:w="703" w:type="dxa"/>
                  <w:tcBorders>
                    <w:tl2br w:val="nil"/>
                    <w:tr2bl w:val="nil"/>
                  </w:tcBorders>
                  <w:noWrap w:val="0"/>
                  <w:vAlign w:val="center"/>
                </w:tcPr>
                <w:p w14:paraId="173DF64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cs="Times New Roman"/>
                      <w:color w:val="auto"/>
                      <w:spacing w:val="-6"/>
                      <w:sz w:val="21"/>
                      <w:szCs w:val="21"/>
                      <w:lang w:val="en-US" w:eastAsia="zh-CN"/>
                    </w:rPr>
                  </w:pPr>
                </w:p>
              </w:tc>
            </w:tr>
            <w:tr w14:paraId="03E5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733" w:type="dxa"/>
                  <w:vMerge w:val="continue"/>
                  <w:tcBorders>
                    <w:tl2br w:val="nil"/>
                    <w:tr2bl w:val="nil"/>
                  </w:tcBorders>
                  <w:noWrap w:val="0"/>
                  <w:vAlign w:val="center"/>
                </w:tcPr>
                <w:p w14:paraId="7BA4115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289" w:type="dxa"/>
                  <w:tcBorders>
                    <w:tl2br w:val="nil"/>
                    <w:tr2bl w:val="nil"/>
                  </w:tcBorders>
                  <w:shd w:val="clear" w:color="auto" w:fill="auto"/>
                  <w:noWrap w:val="0"/>
                  <w:vAlign w:val="center"/>
                </w:tcPr>
                <w:p w14:paraId="1F8C1EC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供气</w:t>
                  </w:r>
                </w:p>
              </w:tc>
              <w:tc>
                <w:tcPr>
                  <w:tcW w:w="5233" w:type="dxa"/>
                  <w:tcBorders>
                    <w:tl2br w:val="nil"/>
                    <w:tr2bl w:val="nil"/>
                  </w:tcBorders>
                  <w:shd w:val="clear" w:color="auto" w:fill="auto"/>
                  <w:noWrap w:val="0"/>
                  <w:vAlign w:val="center"/>
                </w:tcPr>
                <w:p w14:paraId="071E0E7D">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矿区设供气管线，燃气由长子县丹源燃气有限公司提供</w:t>
                  </w:r>
                </w:p>
              </w:tc>
              <w:tc>
                <w:tcPr>
                  <w:tcW w:w="703" w:type="dxa"/>
                  <w:tcBorders>
                    <w:tl2br w:val="nil"/>
                    <w:tr2bl w:val="nil"/>
                  </w:tcBorders>
                  <w:noWrap w:val="0"/>
                  <w:vAlign w:val="center"/>
                </w:tcPr>
                <w:p w14:paraId="378A6B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cs="Times New Roman"/>
                      <w:color w:val="auto"/>
                      <w:spacing w:val="-6"/>
                      <w:sz w:val="21"/>
                      <w:szCs w:val="21"/>
                      <w:lang w:val="en-US" w:eastAsia="zh-CN"/>
                    </w:rPr>
                  </w:pPr>
                </w:p>
              </w:tc>
            </w:tr>
            <w:tr w14:paraId="7170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6" w:hRule="atLeast"/>
                <w:jc w:val="center"/>
              </w:trPr>
              <w:tc>
                <w:tcPr>
                  <w:tcW w:w="733" w:type="dxa"/>
                  <w:vMerge w:val="continue"/>
                  <w:tcBorders>
                    <w:tl2br w:val="nil"/>
                    <w:tr2bl w:val="nil"/>
                  </w:tcBorders>
                  <w:noWrap w:val="0"/>
                  <w:vAlign w:val="center"/>
                </w:tcPr>
                <w:p w14:paraId="10B8BD5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289" w:type="dxa"/>
                  <w:tcBorders>
                    <w:tl2br w:val="nil"/>
                    <w:tr2bl w:val="nil"/>
                  </w:tcBorders>
                  <w:noWrap w:val="0"/>
                  <w:vAlign w:val="center"/>
                </w:tcPr>
                <w:p w14:paraId="7B09102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供热</w:t>
                  </w:r>
                </w:p>
              </w:tc>
              <w:tc>
                <w:tcPr>
                  <w:tcW w:w="5233" w:type="dxa"/>
                  <w:tcBorders>
                    <w:tl2br w:val="nil"/>
                    <w:tr2bl w:val="nil"/>
                  </w:tcBorders>
                  <w:noWrap w:val="0"/>
                  <w:vAlign w:val="center"/>
                </w:tcPr>
                <w:p w14:paraId="2A29F9D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highlight w:val="none"/>
                      <w:lang w:val="en-US" w:eastAsia="zh-CN"/>
                    </w:rPr>
                    <w:t>采暖期由锅炉房内4台SZS14-1.25/115/70-Q型热水锅炉供热，燃用天然气。非采暖期由长子县都宝电力开发有限公司余热系统、空压机余热系统、路西空气能系统提供生活用热。</w:t>
                  </w:r>
                </w:p>
              </w:tc>
              <w:tc>
                <w:tcPr>
                  <w:tcW w:w="703" w:type="dxa"/>
                  <w:tcBorders>
                    <w:tl2br w:val="nil"/>
                    <w:tr2bl w:val="nil"/>
                  </w:tcBorders>
                  <w:noWrap w:val="0"/>
                  <w:vAlign w:val="center"/>
                </w:tcPr>
                <w:p w14:paraId="120E933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pacing w:val="-6"/>
                      <w:sz w:val="21"/>
                      <w:szCs w:val="21"/>
                      <w:lang w:eastAsia="zh-CN"/>
                    </w:rPr>
                  </w:pPr>
                </w:p>
              </w:tc>
            </w:tr>
            <w:tr w14:paraId="6D89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733" w:type="dxa"/>
                  <w:vMerge w:val="restart"/>
                  <w:tcBorders>
                    <w:tl2br w:val="nil"/>
                    <w:tr2bl w:val="nil"/>
                  </w:tcBorders>
                  <w:noWrap w:val="0"/>
                  <w:vAlign w:val="center"/>
                </w:tcPr>
                <w:p w14:paraId="2C48177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环保工程</w:t>
                  </w:r>
                </w:p>
              </w:tc>
              <w:tc>
                <w:tcPr>
                  <w:tcW w:w="1289" w:type="dxa"/>
                  <w:tcBorders>
                    <w:tl2br w:val="nil"/>
                    <w:tr2bl w:val="nil"/>
                  </w:tcBorders>
                  <w:noWrap w:val="0"/>
                  <w:vAlign w:val="center"/>
                </w:tcPr>
                <w:p w14:paraId="57CE852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rPr>
                    <w:t>废气</w:t>
                  </w:r>
                </w:p>
              </w:tc>
              <w:tc>
                <w:tcPr>
                  <w:tcW w:w="5233" w:type="dxa"/>
                  <w:tcBorders>
                    <w:tl2br w:val="nil"/>
                    <w:tr2bl w:val="nil"/>
                  </w:tcBorders>
                  <w:shd w:val="clear" w:color="auto" w:fill="auto"/>
                  <w:noWrap w:val="0"/>
                  <w:vAlign w:val="center"/>
                </w:tcPr>
                <w:p w14:paraId="5A01F8D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每台锅炉均安装有低氮燃烧+烟气再循环装置，废气分别经1根22m高排气筒排放，废气排放口均设有在线监测装置</w:t>
                  </w:r>
                </w:p>
              </w:tc>
              <w:tc>
                <w:tcPr>
                  <w:tcW w:w="703" w:type="dxa"/>
                  <w:tcBorders>
                    <w:tl2br w:val="nil"/>
                    <w:tr2bl w:val="nil"/>
                  </w:tcBorders>
                  <w:shd w:val="clear" w:color="auto" w:fill="auto"/>
                  <w:noWrap w:val="0"/>
                  <w:vAlign w:val="center"/>
                </w:tcPr>
                <w:p w14:paraId="116F4F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pacing w:val="-6"/>
                      <w:kern w:val="2"/>
                      <w:sz w:val="21"/>
                      <w:szCs w:val="21"/>
                      <w:lang w:val="en-US" w:eastAsia="zh-CN" w:bidi="ar-SA"/>
                    </w:rPr>
                  </w:pPr>
                </w:p>
              </w:tc>
            </w:tr>
            <w:tr w14:paraId="18A6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733" w:type="dxa"/>
                  <w:vMerge w:val="continue"/>
                  <w:tcBorders>
                    <w:tl2br w:val="nil"/>
                    <w:tr2bl w:val="nil"/>
                  </w:tcBorders>
                  <w:noWrap w:val="0"/>
                  <w:vAlign w:val="center"/>
                </w:tcPr>
                <w:p w14:paraId="35CF94D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289" w:type="dxa"/>
                  <w:tcBorders>
                    <w:tl2br w:val="nil"/>
                    <w:tr2bl w:val="nil"/>
                  </w:tcBorders>
                  <w:noWrap w:val="0"/>
                  <w:vAlign w:val="center"/>
                </w:tcPr>
                <w:p w14:paraId="743D6D2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rPr>
                    <w:t>废水</w:t>
                  </w:r>
                </w:p>
              </w:tc>
              <w:tc>
                <w:tcPr>
                  <w:tcW w:w="5233" w:type="dxa"/>
                  <w:tcBorders>
                    <w:tl2br w:val="nil"/>
                    <w:tr2bl w:val="nil"/>
                  </w:tcBorders>
                  <w:shd w:val="clear" w:color="auto" w:fill="auto"/>
                  <w:noWrap w:val="0"/>
                  <w:vAlign w:val="center"/>
                </w:tcPr>
                <w:p w14:paraId="540B1C7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主要为锅炉排污水和软化水系统排水，经污水管道收集进入现有矿井水处理站进行处理后优先回用</w:t>
                  </w:r>
                </w:p>
              </w:tc>
              <w:tc>
                <w:tcPr>
                  <w:tcW w:w="703" w:type="dxa"/>
                  <w:tcBorders>
                    <w:tl2br w:val="nil"/>
                    <w:tr2bl w:val="nil"/>
                  </w:tcBorders>
                  <w:noWrap w:val="0"/>
                  <w:vAlign w:val="center"/>
                </w:tcPr>
                <w:p w14:paraId="0B30709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spacing w:val="-6"/>
                      <w:sz w:val="21"/>
                      <w:szCs w:val="21"/>
                      <w:highlight w:val="none"/>
                      <w:lang w:val="en-US" w:eastAsia="zh-CN"/>
                    </w:rPr>
                  </w:pPr>
                </w:p>
              </w:tc>
            </w:tr>
            <w:tr w14:paraId="03EC5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vMerge w:val="continue"/>
                  <w:tcBorders>
                    <w:tl2br w:val="nil"/>
                    <w:tr2bl w:val="nil"/>
                  </w:tcBorders>
                  <w:noWrap w:val="0"/>
                  <w:vAlign w:val="center"/>
                </w:tcPr>
                <w:p w14:paraId="46DC149B">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289" w:type="dxa"/>
                  <w:tcBorders>
                    <w:tl2br w:val="nil"/>
                    <w:tr2bl w:val="nil"/>
                  </w:tcBorders>
                  <w:noWrap w:val="0"/>
                  <w:vAlign w:val="center"/>
                </w:tcPr>
                <w:p w14:paraId="43A2075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w:t>
                  </w:r>
                </w:p>
              </w:tc>
              <w:tc>
                <w:tcPr>
                  <w:tcW w:w="5233" w:type="dxa"/>
                  <w:tcBorders>
                    <w:tl2br w:val="nil"/>
                    <w:tr2bl w:val="nil"/>
                  </w:tcBorders>
                  <w:noWrap w:val="0"/>
                  <w:vAlign w:val="center"/>
                </w:tcPr>
                <w:p w14:paraId="7FE263D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eastAsia="宋体" w:cs="Times New Roman"/>
                      <w:color w:val="auto"/>
                      <w:sz w:val="21"/>
                      <w:szCs w:val="21"/>
                      <w:highlight w:val="yellow"/>
                      <w:lang w:eastAsia="zh-CN"/>
                    </w:rPr>
                  </w:pPr>
                  <w:r>
                    <w:rPr>
                      <w:rFonts w:hint="eastAsia" w:ascii="Times New Roman" w:hAnsi="Times New Roman" w:cs="Times New Roman"/>
                      <w:color w:val="auto"/>
                      <w:sz w:val="21"/>
                      <w:szCs w:val="21"/>
                      <w:lang w:val="en-US" w:eastAsia="zh-CN"/>
                    </w:rPr>
                    <w:t>低噪声设备；</w:t>
                  </w:r>
                  <w:r>
                    <w:rPr>
                      <w:rFonts w:hint="default" w:ascii="Times New Roman" w:hAnsi="Times New Roman" w:cs="Times New Roman"/>
                      <w:color w:val="auto"/>
                      <w:sz w:val="21"/>
                      <w:szCs w:val="21"/>
                    </w:rPr>
                    <w:t>减振、厂房隔声</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定期维修、检修</w:t>
                  </w:r>
                </w:p>
              </w:tc>
              <w:tc>
                <w:tcPr>
                  <w:tcW w:w="703" w:type="dxa"/>
                  <w:tcBorders>
                    <w:tl2br w:val="nil"/>
                    <w:tr2bl w:val="nil"/>
                  </w:tcBorders>
                  <w:noWrap w:val="0"/>
                  <w:vAlign w:val="center"/>
                </w:tcPr>
                <w:p w14:paraId="27441E5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pacing w:val="-6"/>
                      <w:sz w:val="21"/>
                      <w:szCs w:val="21"/>
                    </w:rPr>
                  </w:pPr>
                </w:p>
              </w:tc>
            </w:tr>
            <w:tr w14:paraId="422E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33" w:type="dxa"/>
                  <w:vMerge w:val="continue"/>
                  <w:tcBorders>
                    <w:tl2br w:val="nil"/>
                    <w:tr2bl w:val="nil"/>
                  </w:tcBorders>
                  <w:noWrap w:val="0"/>
                  <w:vAlign w:val="center"/>
                </w:tcPr>
                <w:p w14:paraId="3EDA7007">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cs="Times New Roman"/>
                      <w:color w:val="auto"/>
                      <w:sz w:val="21"/>
                      <w:szCs w:val="21"/>
                    </w:rPr>
                  </w:pPr>
                </w:p>
              </w:tc>
              <w:tc>
                <w:tcPr>
                  <w:tcW w:w="1289" w:type="dxa"/>
                  <w:tcBorders>
                    <w:tl2br w:val="nil"/>
                    <w:tr2bl w:val="nil"/>
                  </w:tcBorders>
                  <w:noWrap w:val="0"/>
                  <w:vAlign w:val="center"/>
                </w:tcPr>
                <w:p w14:paraId="650554D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固废</w:t>
                  </w:r>
                </w:p>
              </w:tc>
              <w:tc>
                <w:tcPr>
                  <w:tcW w:w="5233" w:type="dxa"/>
                  <w:tcBorders>
                    <w:tl2br w:val="nil"/>
                    <w:tr2bl w:val="nil"/>
                  </w:tcBorders>
                  <w:noWrap w:val="0"/>
                  <w:vAlign w:val="center"/>
                </w:tcPr>
                <w:p w14:paraId="4C2FC8F8">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软化水制备设备产生的废离子交换树脂，由厂家定期更换后回收</w:t>
                  </w:r>
                </w:p>
              </w:tc>
              <w:tc>
                <w:tcPr>
                  <w:tcW w:w="703" w:type="dxa"/>
                  <w:tcBorders>
                    <w:tl2br w:val="nil"/>
                    <w:tr2bl w:val="nil"/>
                  </w:tcBorders>
                  <w:noWrap w:val="0"/>
                  <w:vAlign w:val="center"/>
                </w:tcPr>
                <w:p w14:paraId="79A8EA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cs="Times New Roman"/>
                      <w:color w:val="auto"/>
                      <w:spacing w:val="-6"/>
                      <w:sz w:val="21"/>
                      <w:szCs w:val="21"/>
                    </w:rPr>
                  </w:pPr>
                </w:p>
              </w:tc>
            </w:tr>
          </w:tbl>
          <w:p w14:paraId="0113EC3A">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2.1</w:t>
            </w:r>
            <w:r>
              <w:rPr>
                <w:rFonts w:hint="eastAsia" w:cs="Times New Roman"/>
                <w:b/>
                <w:bCs/>
                <w:color w:val="auto"/>
                <w:sz w:val="24"/>
                <w:szCs w:val="24"/>
                <w:highlight w:val="none"/>
                <w:lang w:val="en-US" w:eastAsia="zh-CN"/>
              </w:rPr>
              <w:t>1 与本项目有关的</w:t>
            </w:r>
            <w:r>
              <w:rPr>
                <w:rFonts w:hint="eastAsia" w:ascii="Times New Roman" w:hAnsi="Times New Roman" w:eastAsia="宋体" w:cs="Times New Roman"/>
                <w:b/>
                <w:bCs/>
                <w:color w:val="auto"/>
                <w:sz w:val="24"/>
                <w:szCs w:val="24"/>
                <w:highlight w:val="none"/>
                <w:lang w:val="en-US" w:eastAsia="zh-CN"/>
              </w:rPr>
              <w:t>现</w:t>
            </w:r>
            <w:r>
              <w:rPr>
                <w:rFonts w:hint="default" w:ascii="Times New Roman" w:hAnsi="Times New Roman" w:eastAsia="宋体" w:cs="Times New Roman"/>
                <w:b/>
                <w:bCs/>
                <w:color w:val="auto"/>
                <w:sz w:val="24"/>
                <w:szCs w:val="24"/>
                <w:highlight w:val="none"/>
                <w:lang w:val="en-US" w:eastAsia="zh-CN"/>
              </w:rPr>
              <w:t>有工程污染物排放情况</w:t>
            </w:r>
          </w:p>
          <w:p w14:paraId="30AEB66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1.废气</w:t>
            </w:r>
          </w:p>
          <w:p w14:paraId="268E5A8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（1）有组织</w:t>
            </w:r>
          </w:p>
          <w:p w14:paraId="6BBBE68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本次评价工业场地1#-4#锅炉废气颗粒物、二氧化硫、烟气黑度监测结果引用2026年3月24日</w:t>
            </w:r>
            <w:r>
              <w:rPr>
                <w:rFonts w:hint="default" w:ascii="Times New Roman" w:hAnsi="Times New Roman" w:eastAsia="宋体" w:cs="Times New Roman"/>
                <w:bCs/>
                <w:color w:val="auto"/>
                <w:spacing w:val="0"/>
                <w:sz w:val="24"/>
                <w:szCs w:val="24"/>
                <w:highlight w:val="none"/>
                <w:lang w:val="en-US" w:eastAsia="zh-CN"/>
              </w:rPr>
              <w:t>由山西</w:t>
            </w:r>
            <w:r>
              <w:rPr>
                <w:rFonts w:hint="eastAsia" w:ascii="Times New Roman" w:hAnsi="Times New Roman" w:eastAsia="宋体" w:cs="Times New Roman"/>
                <w:bCs/>
                <w:color w:val="auto"/>
                <w:spacing w:val="0"/>
                <w:sz w:val="24"/>
                <w:szCs w:val="24"/>
                <w:highlight w:val="none"/>
                <w:lang w:val="en-US" w:eastAsia="zh-CN"/>
              </w:rPr>
              <w:t>华益检测科技</w:t>
            </w:r>
            <w:r>
              <w:rPr>
                <w:rFonts w:hint="default" w:ascii="Times New Roman" w:hAnsi="Times New Roman" w:eastAsia="宋体" w:cs="Times New Roman"/>
                <w:bCs/>
                <w:color w:val="auto"/>
                <w:spacing w:val="0"/>
                <w:sz w:val="24"/>
                <w:szCs w:val="24"/>
                <w:highlight w:val="none"/>
                <w:lang w:val="en-US" w:eastAsia="zh-CN"/>
              </w:rPr>
              <w:t>有限公司出具的《</w:t>
            </w:r>
            <w:r>
              <w:rPr>
                <w:rFonts w:hint="eastAsia" w:ascii="Times New Roman" w:hAnsi="Times New Roman" w:eastAsia="宋体" w:cs="Times New Roman"/>
                <w:bCs/>
                <w:color w:val="auto"/>
                <w:spacing w:val="0"/>
                <w:sz w:val="24"/>
                <w:szCs w:val="24"/>
                <w:highlight w:val="none"/>
                <w:lang w:val="en-US" w:eastAsia="zh-CN"/>
              </w:rPr>
              <w:t>山西晋煤集团赵庄煤业有限责任公司自行监测（</w:t>
            </w:r>
            <w:r>
              <w:rPr>
                <w:rFonts w:hint="eastAsia" w:cs="Times New Roman"/>
                <w:bCs/>
                <w:color w:val="auto"/>
                <w:spacing w:val="0"/>
                <w:sz w:val="24"/>
                <w:szCs w:val="24"/>
                <w:highlight w:val="none"/>
                <w:lang w:val="en-US" w:eastAsia="zh-CN"/>
              </w:rPr>
              <w:t>固定源</w:t>
            </w:r>
            <w:r>
              <w:rPr>
                <w:rFonts w:hint="eastAsia" w:ascii="Times New Roman" w:hAnsi="Times New Roman" w:eastAsia="宋体" w:cs="Times New Roman"/>
                <w:bCs/>
                <w:color w:val="auto"/>
                <w:spacing w:val="0"/>
                <w:sz w:val="24"/>
                <w:szCs w:val="24"/>
                <w:highlight w:val="none"/>
                <w:lang w:val="en-US" w:eastAsia="zh-CN"/>
              </w:rPr>
              <w:t>）</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SXHYJC-2</w:t>
            </w:r>
            <w:r>
              <w:rPr>
                <w:rFonts w:hint="eastAsia" w:cs="Times New Roman"/>
                <w:bCs/>
                <w:color w:val="auto"/>
                <w:spacing w:val="0"/>
                <w:sz w:val="24"/>
                <w:szCs w:val="24"/>
                <w:highlight w:val="none"/>
                <w:lang w:val="en-US" w:eastAsia="zh-CN"/>
              </w:rPr>
              <w:t>6</w:t>
            </w:r>
            <w:r>
              <w:rPr>
                <w:rFonts w:hint="eastAsia" w:ascii="Times New Roman" w:hAnsi="Times New Roman" w:eastAsia="宋体" w:cs="Times New Roman"/>
                <w:bCs/>
                <w:color w:val="auto"/>
                <w:spacing w:val="0"/>
                <w:sz w:val="24"/>
                <w:szCs w:val="24"/>
                <w:highlight w:val="none"/>
                <w:lang w:val="en-US" w:eastAsia="zh-CN"/>
              </w:rPr>
              <w:t>0</w:t>
            </w:r>
            <w:r>
              <w:rPr>
                <w:rFonts w:hint="eastAsia" w:cs="Times New Roman"/>
                <w:bCs/>
                <w:color w:val="auto"/>
                <w:spacing w:val="0"/>
                <w:sz w:val="24"/>
                <w:szCs w:val="24"/>
                <w:highlight w:val="none"/>
                <w:lang w:val="en-US" w:eastAsia="zh-CN"/>
              </w:rPr>
              <w:t>1</w:t>
            </w:r>
            <w:r>
              <w:rPr>
                <w:rFonts w:hint="eastAsia"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054（3）</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中的数据</w:t>
            </w:r>
            <w:r>
              <w:rPr>
                <w:rFonts w:hint="eastAsia" w:cs="Times New Roman"/>
                <w:bCs/>
                <w:color w:val="auto"/>
                <w:spacing w:val="0"/>
                <w:sz w:val="24"/>
                <w:szCs w:val="24"/>
                <w:highlight w:val="none"/>
                <w:lang w:val="en-US" w:eastAsia="zh-CN"/>
              </w:rPr>
              <w:t>；工业场地1#-4#锅炉废气氮氧化物监测结果引用赵庄煤业2025年全年在线监测平台数据。</w:t>
            </w:r>
          </w:p>
          <w:p w14:paraId="4E05213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表</w:t>
            </w:r>
            <w:r>
              <w:rPr>
                <w:rFonts w:hint="eastAsia" w:eastAsia="黑体" w:cs="Times New Roman"/>
                <w:color w:val="auto"/>
                <w:sz w:val="21"/>
                <w:szCs w:val="21"/>
                <w:lang w:val="en-US" w:eastAsia="zh-CN"/>
              </w:rPr>
              <w:t>2.11-1</w:t>
            </w:r>
            <w:r>
              <w:rPr>
                <w:rFonts w:hint="default" w:ascii="Times New Roman" w:hAnsi="Times New Roman" w:eastAsia="黑体" w:cs="Times New Roman"/>
                <w:color w:val="auto"/>
                <w:sz w:val="21"/>
                <w:szCs w:val="21"/>
                <w:lang w:val="en-US" w:eastAsia="zh-CN"/>
              </w:rPr>
              <w:t xml:space="preserve">  </w:t>
            </w:r>
            <w:r>
              <w:rPr>
                <w:rFonts w:hint="eastAsia" w:ascii="Times New Roman" w:hAnsi="Times New Roman" w:eastAsia="黑体" w:cs="Times New Roman"/>
                <w:color w:val="auto"/>
                <w:sz w:val="21"/>
                <w:szCs w:val="21"/>
                <w:lang w:val="en-US" w:eastAsia="zh-CN"/>
              </w:rPr>
              <w:t>主井工业场地1#-4#锅炉</w:t>
            </w:r>
            <w:r>
              <w:rPr>
                <w:rFonts w:hint="eastAsia" w:eastAsia="黑体" w:cs="Times New Roman"/>
                <w:color w:val="auto"/>
                <w:sz w:val="21"/>
                <w:szCs w:val="21"/>
                <w:lang w:val="en-US" w:eastAsia="zh-CN"/>
              </w:rPr>
              <w:t>废气</w:t>
            </w:r>
            <w:r>
              <w:rPr>
                <w:rFonts w:hint="default" w:ascii="Times New Roman" w:hAnsi="Times New Roman" w:eastAsia="黑体" w:cs="Times New Roman"/>
                <w:color w:val="auto"/>
                <w:sz w:val="21"/>
                <w:szCs w:val="21"/>
                <w:lang w:val="en-US" w:eastAsia="zh-CN"/>
              </w:rPr>
              <w:t>监测结果</w:t>
            </w:r>
          </w:p>
          <w:tbl>
            <w:tblPr>
              <w:tblStyle w:val="25"/>
              <w:tblW w:w="80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123"/>
              <w:gridCol w:w="840"/>
              <w:gridCol w:w="599"/>
              <w:gridCol w:w="1078"/>
              <w:gridCol w:w="869"/>
              <w:gridCol w:w="899"/>
              <w:gridCol w:w="884"/>
              <w:gridCol w:w="1018"/>
            </w:tblGrid>
            <w:tr w14:paraId="61E7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451" w:type="pct"/>
                  <w:vAlign w:val="center"/>
                </w:tcPr>
                <w:p w14:paraId="73B562F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监测</w:t>
                  </w:r>
                </w:p>
                <w:p w14:paraId="23728CB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日期</w:t>
                  </w:r>
                </w:p>
              </w:tc>
              <w:tc>
                <w:tcPr>
                  <w:tcW w:w="698" w:type="pct"/>
                  <w:vAlign w:val="center"/>
                </w:tcPr>
                <w:p w14:paraId="49B27EE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监测</w:t>
                  </w:r>
                </w:p>
                <w:p w14:paraId="164CF72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点位</w:t>
                  </w:r>
                </w:p>
              </w:tc>
              <w:tc>
                <w:tcPr>
                  <w:tcW w:w="522" w:type="pct"/>
                  <w:vAlign w:val="center"/>
                </w:tcPr>
                <w:p w14:paraId="7F2CC16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监测</w:t>
                  </w:r>
                </w:p>
                <w:p w14:paraId="420EDC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项目</w:t>
                  </w:r>
                </w:p>
              </w:tc>
              <w:tc>
                <w:tcPr>
                  <w:tcW w:w="372" w:type="pct"/>
                  <w:vAlign w:val="center"/>
                </w:tcPr>
                <w:p w14:paraId="5A34A44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频次</w:t>
                  </w:r>
                </w:p>
              </w:tc>
              <w:tc>
                <w:tcPr>
                  <w:tcW w:w="670" w:type="pct"/>
                  <w:vAlign w:val="center"/>
                </w:tcPr>
                <w:p w14:paraId="79CD03C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标态排气量Nm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vertAlign w:val="baseline"/>
                      <w:lang w:val="en-US" w:eastAsia="zh-CN"/>
                    </w:rPr>
                    <w:t>/h</w:t>
                  </w:r>
                </w:p>
              </w:tc>
              <w:tc>
                <w:tcPr>
                  <w:tcW w:w="540" w:type="pct"/>
                  <w:vAlign w:val="center"/>
                </w:tcPr>
                <w:p w14:paraId="36AC097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氧含量%</w:t>
                  </w:r>
                </w:p>
              </w:tc>
              <w:tc>
                <w:tcPr>
                  <w:tcW w:w="559" w:type="pct"/>
                  <w:vAlign w:val="center"/>
                </w:tcPr>
                <w:p w14:paraId="4E918B0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实测</w:t>
                  </w:r>
                </w:p>
                <w:p w14:paraId="10B670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浓度mg/m</w:t>
                  </w:r>
                  <w:r>
                    <w:rPr>
                      <w:rFonts w:hint="default" w:ascii="Times New Roman" w:hAnsi="Times New Roman" w:eastAsia="宋体" w:cs="Times New Roman"/>
                      <w:color w:val="auto"/>
                      <w:sz w:val="21"/>
                      <w:szCs w:val="21"/>
                      <w:vertAlign w:val="superscript"/>
                      <w:lang w:val="en-US" w:eastAsia="zh-CN"/>
                    </w:rPr>
                    <w:t>3</w:t>
                  </w:r>
                </w:p>
              </w:tc>
              <w:tc>
                <w:tcPr>
                  <w:tcW w:w="550" w:type="pct"/>
                  <w:vAlign w:val="center"/>
                </w:tcPr>
                <w:p w14:paraId="5F6751B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排放</w:t>
                  </w:r>
                </w:p>
                <w:p w14:paraId="2E1B5E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浓度mg/m</w:t>
                  </w:r>
                  <w:r>
                    <w:rPr>
                      <w:rFonts w:hint="default" w:ascii="Times New Roman" w:hAnsi="Times New Roman" w:eastAsia="宋体" w:cs="Times New Roman"/>
                      <w:color w:val="auto"/>
                      <w:sz w:val="21"/>
                      <w:szCs w:val="21"/>
                      <w:vertAlign w:val="superscript"/>
                      <w:lang w:val="en-US" w:eastAsia="zh-CN"/>
                    </w:rPr>
                    <w:t>3</w:t>
                  </w:r>
                </w:p>
              </w:tc>
              <w:tc>
                <w:tcPr>
                  <w:tcW w:w="633" w:type="pct"/>
                  <w:vAlign w:val="center"/>
                </w:tcPr>
                <w:p w14:paraId="5FAF05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排放</w:t>
                  </w:r>
                </w:p>
                <w:p w14:paraId="6F67A3D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速率kg/h</w:t>
                  </w:r>
                </w:p>
              </w:tc>
            </w:tr>
            <w:tr w14:paraId="2A49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restart"/>
                  <w:vAlign w:val="center"/>
                </w:tcPr>
                <w:p w14:paraId="7FF2950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2026.03.17</w:t>
                  </w:r>
                </w:p>
              </w:tc>
              <w:tc>
                <w:tcPr>
                  <w:tcW w:w="698" w:type="pct"/>
                  <w:vMerge w:val="restart"/>
                  <w:vAlign w:val="center"/>
                </w:tcPr>
                <w:p w14:paraId="3A1C64C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工业场地1#20t/h燃气锅炉</w:t>
                  </w:r>
                </w:p>
              </w:tc>
              <w:tc>
                <w:tcPr>
                  <w:tcW w:w="522" w:type="pct"/>
                  <w:vMerge w:val="restart"/>
                  <w:vAlign w:val="center"/>
                </w:tcPr>
                <w:p w14:paraId="2846C2E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颗粒物</w:t>
                  </w:r>
                </w:p>
              </w:tc>
              <w:tc>
                <w:tcPr>
                  <w:tcW w:w="372" w:type="pct"/>
                  <w:vAlign w:val="center"/>
                </w:tcPr>
                <w:p w14:paraId="0A8D069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w:t>
                  </w:r>
                </w:p>
              </w:tc>
              <w:tc>
                <w:tcPr>
                  <w:tcW w:w="670" w:type="pct"/>
                  <w:vAlign w:val="center"/>
                </w:tcPr>
                <w:p w14:paraId="6F63CA7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8460</w:t>
                  </w:r>
                </w:p>
              </w:tc>
              <w:tc>
                <w:tcPr>
                  <w:tcW w:w="540" w:type="pct"/>
                  <w:vAlign w:val="center"/>
                </w:tcPr>
                <w:p w14:paraId="65E2A2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3.36</w:t>
                  </w:r>
                </w:p>
              </w:tc>
              <w:tc>
                <w:tcPr>
                  <w:tcW w:w="559" w:type="pct"/>
                  <w:vAlign w:val="center"/>
                </w:tcPr>
                <w:p w14:paraId="391749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w:t>
                  </w:r>
                </w:p>
              </w:tc>
              <w:tc>
                <w:tcPr>
                  <w:tcW w:w="550" w:type="pct"/>
                  <w:vAlign w:val="center"/>
                </w:tcPr>
                <w:p w14:paraId="4FAD628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3.9</w:t>
                  </w:r>
                </w:p>
              </w:tc>
              <w:tc>
                <w:tcPr>
                  <w:tcW w:w="633" w:type="pct"/>
                  <w:vAlign w:val="center"/>
                </w:tcPr>
                <w:p w14:paraId="40B0340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0.0330</w:t>
                  </w:r>
                </w:p>
              </w:tc>
            </w:tr>
            <w:tr w14:paraId="5C54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continue"/>
                  <w:vAlign w:val="center"/>
                </w:tcPr>
                <w:p w14:paraId="4C12901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5F279BD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34A8DAA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vAlign w:val="center"/>
                </w:tcPr>
                <w:p w14:paraId="077046A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w:t>
                  </w:r>
                </w:p>
              </w:tc>
              <w:tc>
                <w:tcPr>
                  <w:tcW w:w="670" w:type="pct"/>
                  <w:vAlign w:val="center"/>
                </w:tcPr>
                <w:p w14:paraId="34867E5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10163</w:t>
                  </w:r>
                </w:p>
              </w:tc>
              <w:tc>
                <w:tcPr>
                  <w:tcW w:w="540" w:type="pct"/>
                  <w:vAlign w:val="center"/>
                </w:tcPr>
                <w:p w14:paraId="401659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3.26</w:t>
                  </w:r>
                </w:p>
              </w:tc>
              <w:tc>
                <w:tcPr>
                  <w:tcW w:w="559" w:type="pct"/>
                  <w:vAlign w:val="center"/>
                </w:tcPr>
                <w:p w14:paraId="264AF44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3.4</w:t>
                  </w:r>
                </w:p>
              </w:tc>
              <w:tc>
                <w:tcPr>
                  <w:tcW w:w="550" w:type="pct"/>
                  <w:vAlign w:val="center"/>
                </w:tcPr>
                <w:p w14:paraId="10B5A7E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3.4</w:t>
                  </w:r>
                </w:p>
              </w:tc>
              <w:tc>
                <w:tcPr>
                  <w:tcW w:w="633" w:type="pct"/>
                  <w:vAlign w:val="center"/>
                </w:tcPr>
                <w:p w14:paraId="03591C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0.0346</w:t>
                  </w:r>
                </w:p>
              </w:tc>
            </w:tr>
            <w:tr w14:paraId="309B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continue"/>
                  <w:vAlign w:val="center"/>
                </w:tcPr>
                <w:p w14:paraId="349351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4BD9695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6AC26F3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vAlign w:val="center"/>
                </w:tcPr>
                <w:p w14:paraId="5D14C62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w:t>
                  </w:r>
                </w:p>
              </w:tc>
              <w:tc>
                <w:tcPr>
                  <w:tcW w:w="670" w:type="pct"/>
                  <w:vAlign w:val="center"/>
                </w:tcPr>
                <w:p w14:paraId="26DB9E0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10614</w:t>
                  </w:r>
                </w:p>
              </w:tc>
              <w:tc>
                <w:tcPr>
                  <w:tcW w:w="540" w:type="pct"/>
                  <w:vAlign w:val="center"/>
                </w:tcPr>
                <w:p w14:paraId="5CA294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3.22</w:t>
                  </w:r>
                </w:p>
              </w:tc>
              <w:tc>
                <w:tcPr>
                  <w:tcW w:w="559" w:type="pct"/>
                  <w:vAlign w:val="center"/>
                </w:tcPr>
                <w:p w14:paraId="15E14D9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3.7</w:t>
                  </w:r>
                </w:p>
              </w:tc>
              <w:tc>
                <w:tcPr>
                  <w:tcW w:w="550" w:type="pct"/>
                  <w:vAlign w:val="center"/>
                </w:tcPr>
                <w:p w14:paraId="186249E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3.6</w:t>
                  </w:r>
                </w:p>
              </w:tc>
              <w:tc>
                <w:tcPr>
                  <w:tcW w:w="633" w:type="pct"/>
                  <w:vAlign w:val="center"/>
                </w:tcPr>
                <w:p w14:paraId="1F951E7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0.0393</w:t>
                  </w:r>
                </w:p>
              </w:tc>
            </w:tr>
            <w:tr w14:paraId="7822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2CFAD60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4319943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895" w:type="pct"/>
                  <w:gridSpan w:val="2"/>
                  <w:vAlign w:val="center"/>
                </w:tcPr>
                <w:p w14:paraId="33F7DA7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标准限值</w:t>
                  </w:r>
                </w:p>
              </w:tc>
              <w:tc>
                <w:tcPr>
                  <w:tcW w:w="670" w:type="pct"/>
                  <w:vAlign w:val="center"/>
                </w:tcPr>
                <w:p w14:paraId="37BE9E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40" w:type="pct"/>
                  <w:vAlign w:val="center"/>
                </w:tcPr>
                <w:p w14:paraId="77CFD2D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9" w:type="pct"/>
                  <w:vAlign w:val="center"/>
                </w:tcPr>
                <w:p w14:paraId="34B1B82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0" w:type="pct"/>
                  <w:vAlign w:val="center"/>
                </w:tcPr>
                <w:p w14:paraId="4D5B1ED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5.0</w:t>
                  </w:r>
                </w:p>
              </w:tc>
              <w:tc>
                <w:tcPr>
                  <w:tcW w:w="633" w:type="pct"/>
                  <w:vAlign w:val="center"/>
                </w:tcPr>
                <w:p w14:paraId="5708FA4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r>
            <w:tr w14:paraId="0BEF1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1F97E15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3C071D2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restart"/>
                  <w:vAlign w:val="center"/>
                </w:tcPr>
                <w:p w14:paraId="634D05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二氧化硫</w:t>
                  </w:r>
                </w:p>
              </w:tc>
              <w:tc>
                <w:tcPr>
                  <w:tcW w:w="372" w:type="pct"/>
                  <w:shd w:val="clear" w:color="auto" w:fill="auto"/>
                  <w:vAlign w:val="center"/>
                </w:tcPr>
                <w:p w14:paraId="201B552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1</w:t>
                  </w:r>
                </w:p>
              </w:tc>
              <w:tc>
                <w:tcPr>
                  <w:tcW w:w="670" w:type="pct"/>
                  <w:vAlign w:val="center"/>
                </w:tcPr>
                <w:p w14:paraId="11AC98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10595</w:t>
                  </w:r>
                </w:p>
              </w:tc>
              <w:tc>
                <w:tcPr>
                  <w:tcW w:w="540" w:type="pct"/>
                  <w:vAlign w:val="center"/>
                </w:tcPr>
                <w:p w14:paraId="776D7AF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w:t>
                  </w:r>
                </w:p>
              </w:tc>
              <w:tc>
                <w:tcPr>
                  <w:tcW w:w="559" w:type="pct"/>
                  <w:vAlign w:val="center"/>
                </w:tcPr>
                <w:p w14:paraId="7F9A0CC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ND</w:t>
                  </w:r>
                </w:p>
              </w:tc>
              <w:tc>
                <w:tcPr>
                  <w:tcW w:w="550" w:type="pct"/>
                  <w:vAlign w:val="center"/>
                </w:tcPr>
                <w:p w14:paraId="154A5D5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ND</w:t>
                  </w:r>
                </w:p>
              </w:tc>
              <w:tc>
                <w:tcPr>
                  <w:tcW w:w="633" w:type="pct"/>
                  <w:vAlign w:val="center"/>
                </w:tcPr>
                <w:p w14:paraId="0795F03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＜0.0212</w:t>
                  </w:r>
                </w:p>
              </w:tc>
            </w:tr>
            <w:tr w14:paraId="22D9C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750380D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11DA36A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0EED443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shd w:val="clear" w:color="auto" w:fill="auto"/>
                  <w:vAlign w:val="center"/>
                </w:tcPr>
                <w:p w14:paraId="60182A9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2</w:t>
                  </w:r>
                </w:p>
              </w:tc>
              <w:tc>
                <w:tcPr>
                  <w:tcW w:w="670" w:type="pct"/>
                  <w:vAlign w:val="center"/>
                </w:tcPr>
                <w:p w14:paraId="59D316E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10317</w:t>
                  </w:r>
                </w:p>
              </w:tc>
              <w:tc>
                <w:tcPr>
                  <w:tcW w:w="540" w:type="pct"/>
                  <w:vAlign w:val="center"/>
                </w:tcPr>
                <w:p w14:paraId="58E0197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3.17</w:t>
                  </w:r>
                </w:p>
              </w:tc>
              <w:tc>
                <w:tcPr>
                  <w:tcW w:w="559" w:type="pct"/>
                  <w:vAlign w:val="center"/>
                </w:tcPr>
                <w:p w14:paraId="44E0A20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ND</w:t>
                  </w:r>
                </w:p>
              </w:tc>
              <w:tc>
                <w:tcPr>
                  <w:tcW w:w="550" w:type="pct"/>
                  <w:vAlign w:val="center"/>
                </w:tcPr>
                <w:p w14:paraId="7BAFFB3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ND</w:t>
                  </w:r>
                </w:p>
              </w:tc>
              <w:tc>
                <w:tcPr>
                  <w:tcW w:w="633" w:type="pct"/>
                  <w:vAlign w:val="center"/>
                </w:tcPr>
                <w:p w14:paraId="5A43C78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0.0206</w:t>
                  </w:r>
                </w:p>
              </w:tc>
            </w:tr>
            <w:tr w14:paraId="0871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0A16FC2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00FDCF9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628C271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shd w:val="clear" w:color="auto" w:fill="auto"/>
                  <w:vAlign w:val="center"/>
                </w:tcPr>
                <w:p w14:paraId="0AF01FB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3</w:t>
                  </w:r>
                </w:p>
              </w:tc>
              <w:tc>
                <w:tcPr>
                  <w:tcW w:w="670" w:type="pct"/>
                  <w:vAlign w:val="center"/>
                </w:tcPr>
                <w:p w14:paraId="28D7B83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10266</w:t>
                  </w:r>
                </w:p>
              </w:tc>
              <w:tc>
                <w:tcPr>
                  <w:tcW w:w="540" w:type="pct"/>
                  <w:vAlign w:val="center"/>
                </w:tcPr>
                <w:p w14:paraId="5A3D256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3.18</w:t>
                  </w:r>
                </w:p>
              </w:tc>
              <w:tc>
                <w:tcPr>
                  <w:tcW w:w="559" w:type="pct"/>
                  <w:vAlign w:val="center"/>
                </w:tcPr>
                <w:p w14:paraId="0B7611B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ND</w:t>
                  </w:r>
                </w:p>
              </w:tc>
              <w:tc>
                <w:tcPr>
                  <w:tcW w:w="550" w:type="pct"/>
                  <w:vAlign w:val="center"/>
                </w:tcPr>
                <w:p w14:paraId="498BF7A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ND</w:t>
                  </w:r>
                </w:p>
              </w:tc>
              <w:tc>
                <w:tcPr>
                  <w:tcW w:w="633" w:type="pct"/>
                  <w:vAlign w:val="center"/>
                </w:tcPr>
                <w:p w14:paraId="0185035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0.0205</w:t>
                  </w:r>
                </w:p>
              </w:tc>
            </w:tr>
            <w:tr w14:paraId="7C365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07A7D22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43A5E4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895" w:type="pct"/>
                  <w:gridSpan w:val="2"/>
                  <w:vAlign w:val="center"/>
                </w:tcPr>
                <w:p w14:paraId="090633B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标准限值</w:t>
                  </w:r>
                </w:p>
              </w:tc>
              <w:tc>
                <w:tcPr>
                  <w:tcW w:w="670" w:type="pct"/>
                  <w:vAlign w:val="center"/>
                </w:tcPr>
                <w:p w14:paraId="429502E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40" w:type="pct"/>
                  <w:vAlign w:val="center"/>
                </w:tcPr>
                <w:p w14:paraId="5C744DE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9" w:type="pct"/>
                  <w:vAlign w:val="center"/>
                </w:tcPr>
                <w:p w14:paraId="28C3972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0" w:type="pct"/>
                  <w:vAlign w:val="center"/>
                </w:tcPr>
                <w:p w14:paraId="6171F9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35</w:t>
                  </w:r>
                </w:p>
              </w:tc>
              <w:tc>
                <w:tcPr>
                  <w:tcW w:w="633" w:type="pct"/>
                  <w:vAlign w:val="center"/>
                </w:tcPr>
                <w:p w14:paraId="0A737B3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r>
            <w:tr w14:paraId="0DA2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restart"/>
                  <w:vAlign w:val="center"/>
                </w:tcPr>
                <w:p w14:paraId="33EBB66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2026.03.18</w:t>
                  </w:r>
                </w:p>
              </w:tc>
              <w:tc>
                <w:tcPr>
                  <w:tcW w:w="698" w:type="pct"/>
                  <w:vMerge w:val="restart"/>
                  <w:vAlign w:val="center"/>
                </w:tcPr>
                <w:p w14:paraId="5B0399D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工业场地</w:t>
                  </w:r>
                  <w:r>
                    <w:rPr>
                      <w:rFonts w:hint="eastAsia" w:ascii="Times New Roman" w:hAnsi="Times New Roman" w:cs="Times New Roman"/>
                      <w:color w:val="auto"/>
                      <w:sz w:val="21"/>
                      <w:szCs w:val="21"/>
                      <w:vertAlign w:val="baseline"/>
                      <w:lang w:val="en-US" w:eastAsia="zh-CN"/>
                    </w:rPr>
                    <w:t>2</w:t>
                  </w:r>
                  <w:r>
                    <w:rPr>
                      <w:rFonts w:hint="eastAsia" w:ascii="Times New Roman" w:hAnsi="Times New Roman" w:eastAsia="宋体" w:cs="Times New Roman"/>
                      <w:color w:val="auto"/>
                      <w:sz w:val="21"/>
                      <w:szCs w:val="21"/>
                      <w:vertAlign w:val="baseline"/>
                      <w:lang w:val="en-US" w:eastAsia="zh-CN"/>
                    </w:rPr>
                    <w:t>#20t/h燃气锅炉</w:t>
                  </w:r>
                </w:p>
              </w:tc>
              <w:tc>
                <w:tcPr>
                  <w:tcW w:w="522" w:type="pct"/>
                  <w:vMerge w:val="restart"/>
                  <w:shd w:val="clear" w:color="auto" w:fill="auto"/>
                  <w:vAlign w:val="center"/>
                </w:tcPr>
                <w:p w14:paraId="0911346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颗粒物</w:t>
                  </w:r>
                </w:p>
              </w:tc>
              <w:tc>
                <w:tcPr>
                  <w:tcW w:w="372" w:type="pct"/>
                  <w:shd w:val="clear" w:color="auto" w:fill="auto"/>
                  <w:vAlign w:val="center"/>
                </w:tcPr>
                <w:p w14:paraId="36316D0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1</w:t>
                  </w:r>
                </w:p>
              </w:tc>
              <w:tc>
                <w:tcPr>
                  <w:tcW w:w="670" w:type="pct"/>
                  <w:vAlign w:val="center"/>
                </w:tcPr>
                <w:p w14:paraId="0712564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7532</w:t>
                  </w:r>
                </w:p>
              </w:tc>
              <w:tc>
                <w:tcPr>
                  <w:tcW w:w="540" w:type="pct"/>
                  <w:vAlign w:val="center"/>
                </w:tcPr>
                <w:p w14:paraId="62A9A60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3.06</w:t>
                  </w:r>
                </w:p>
              </w:tc>
              <w:tc>
                <w:tcPr>
                  <w:tcW w:w="559" w:type="pct"/>
                  <w:vAlign w:val="center"/>
                </w:tcPr>
                <w:p w14:paraId="782E40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3.2</w:t>
                  </w:r>
                </w:p>
              </w:tc>
              <w:tc>
                <w:tcPr>
                  <w:tcW w:w="550" w:type="pct"/>
                  <w:vAlign w:val="center"/>
                </w:tcPr>
                <w:p w14:paraId="51702C9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w:t>
                  </w:r>
                </w:p>
              </w:tc>
              <w:tc>
                <w:tcPr>
                  <w:tcW w:w="633" w:type="pct"/>
                  <w:vAlign w:val="center"/>
                </w:tcPr>
                <w:p w14:paraId="66E4C2D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0.0241</w:t>
                  </w:r>
                </w:p>
              </w:tc>
            </w:tr>
            <w:tr w14:paraId="5FFB7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continue"/>
                  <w:vAlign w:val="center"/>
                </w:tcPr>
                <w:p w14:paraId="08186CF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5A6BDE5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653CB0E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shd w:val="clear" w:color="auto" w:fill="auto"/>
                  <w:vAlign w:val="center"/>
                </w:tcPr>
                <w:p w14:paraId="7C5B8B5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2</w:t>
                  </w:r>
                </w:p>
              </w:tc>
              <w:tc>
                <w:tcPr>
                  <w:tcW w:w="670" w:type="pct"/>
                  <w:vAlign w:val="center"/>
                </w:tcPr>
                <w:p w14:paraId="6B7DF8A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7284</w:t>
                  </w:r>
                </w:p>
              </w:tc>
              <w:tc>
                <w:tcPr>
                  <w:tcW w:w="540" w:type="pct"/>
                  <w:vAlign w:val="center"/>
                </w:tcPr>
                <w:p w14:paraId="58B1542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3.03</w:t>
                  </w:r>
                </w:p>
              </w:tc>
              <w:tc>
                <w:tcPr>
                  <w:tcW w:w="559" w:type="pct"/>
                  <w:vAlign w:val="center"/>
                </w:tcPr>
                <w:p w14:paraId="04385E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w:t>
                  </w:r>
                </w:p>
              </w:tc>
              <w:tc>
                <w:tcPr>
                  <w:tcW w:w="550" w:type="pct"/>
                  <w:vAlign w:val="center"/>
                </w:tcPr>
                <w:p w14:paraId="0C0536D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2.8</w:t>
                  </w:r>
                </w:p>
              </w:tc>
              <w:tc>
                <w:tcPr>
                  <w:tcW w:w="633" w:type="pct"/>
                  <w:vAlign w:val="center"/>
                </w:tcPr>
                <w:p w14:paraId="47CA28A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0.0211</w:t>
                  </w:r>
                </w:p>
              </w:tc>
            </w:tr>
            <w:tr w14:paraId="66C94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6" w:hRule="atLeast"/>
              </w:trPr>
              <w:tc>
                <w:tcPr>
                  <w:tcW w:w="451" w:type="pct"/>
                  <w:vMerge w:val="continue"/>
                  <w:vAlign w:val="center"/>
                </w:tcPr>
                <w:p w14:paraId="244087E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7FEE8A9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shd w:val="clear" w:color="auto" w:fill="auto"/>
                  <w:vAlign w:val="center"/>
                </w:tcPr>
                <w:p w14:paraId="311DEF4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372" w:type="pct"/>
                  <w:shd w:val="clear" w:color="auto" w:fill="auto"/>
                  <w:vAlign w:val="center"/>
                </w:tcPr>
                <w:p w14:paraId="2F1985A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3</w:t>
                  </w:r>
                </w:p>
              </w:tc>
              <w:tc>
                <w:tcPr>
                  <w:tcW w:w="670" w:type="pct"/>
                  <w:vAlign w:val="center"/>
                </w:tcPr>
                <w:p w14:paraId="0313F6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 xml:space="preserve"> 7288</w:t>
                  </w:r>
                </w:p>
              </w:tc>
              <w:tc>
                <w:tcPr>
                  <w:tcW w:w="540" w:type="pct"/>
                  <w:vAlign w:val="center"/>
                </w:tcPr>
                <w:p w14:paraId="07CC8BD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3.04</w:t>
                  </w:r>
                </w:p>
              </w:tc>
              <w:tc>
                <w:tcPr>
                  <w:tcW w:w="559" w:type="pct"/>
                  <w:vAlign w:val="center"/>
                </w:tcPr>
                <w:p w14:paraId="26D1680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w:t>
                  </w:r>
                </w:p>
              </w:tc>
              <w:tc>
                <w:tcPr>
                  <w:tcW w:w="550" w:type="pct"/>
                  <w:vAlign w:val="center"/>
                </w:tcPr>
                <w:p w14:paraId="1388152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w:t>
                  </w:r>
                </w:p>
              </w:tc>
              <w:tc>
                <w:tcPr>
                  <w:tcW w:w="633" w:type="pct"/>
                  <w:vAlign w:val="center"/>
                </w:tcPr>
                <w:p w14:paraId="453080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0.0219</w:t>
                  </w:r>
                </w:p>
              </w:tc>
            </w:tr>
            <w:tr w14:paraId="42946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17B2980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2822996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895" w:type="pct"/>
                  <w:gridSpan w:val="2"/>
                  <w:shd w:val="clear" w:color="auto" w:fill="auto"/>
                  <w:vAlign w:val="center"/>
                </w:tcPr>
                <w:p w14:paraId="20522C1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标准限值</w:t>
                  </w:r>
                </w:p>
              </w:tc>
              <w:tc>
                <w:tcPr>
                  <w:tcW w:w="670" w:type="pct"/>
                  <w:vAlign w:val="center"/>
                </w:tcPr>
                <w:p w14:paraId="62B3A8F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40" w:type="pct"/>
                  <w:vAlign w:val="center"/>
                </w:tcPr>
                <w:p w14:paraId="630BD7B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9" w:type="pct"/>
                  <w:vAlign w:val="center"/>
                </w:tcPr>
                <w:p w14:paraId="0FBD9BF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0" w:type="pct"/>
                  <w:vAlign w:val="center"/>
                </w:tcPr>
                <w:p w14:paraId="41B097F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5.0</w:t>
                  </w:r>
                </w:p>
              </w:tc>
              <w:tc>
                <w:tcPr>
                  <w:tcW w:w="633" w:type="pct"/>
                  <w:vAlign w:val="center"/>
                </w:tcPr>
                <w:p w14:paraId="24EFD27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r>
            <w:tr w14:paraId="31693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7B2A505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71D8F92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restart"/>
                  <w:shd w:val="clear" w:color="auto" w:fill="auto"/>
                  <w:vAlign w:val="center"/>
                </w:tcPr>
                <w:p w14:paraId="6CD437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二氧化硫</w:t>
                  </w:r>
                </w:p>
              </w:tc>
              <w:tc>
                <w:tcPr>
                  <w:tcW w:w="372" w:type="pct"/>
                  <w:shd w:val="clear" w:color="auto" w:fill="auto"/>
                  <w:vAlign w:val="center"/>
                </w:tcPr>
                <w:p w14:paraId="6AFEBFA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1</w:t>
                  </w:r>
                </w:p>
              </w:tc>
              <w:tc>
                <w:tcPr>
                  <w:tcW w:w="670" w:type="pct"/>
                  <w:vAlign w:val="center"/>
                </w:tcPr>
                <w:p w14:paraId="633FB53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7752</w:t>
                  </w:r>
                </w:p>
              </w:tc>
              <w:tc>
                <w:tcPr>
                  <w:tcW w:w="540" w:type="pct"/>
                  <w:vAlign w:val="center"/>
                </w:tcPr>
                <w:p w14:paraId="1CA3FEA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3.05</w:t>
                  </w:r>
                </w:p>
              </w:tc>
              <w:tc>
                <w:tcPr>
                  <w:tcW w:w="559" w:type="pct"/>
                  <w:shd w:val="clear" w:color="auto" w:fill="auto"/>
                  <w:vAlign w:val="center"/>
                </w:tcPr>
                <w:p w14:paraId="5A00C77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550" w:type="pct"/>
                  <w:shd w:val="clear" w:color="auto" w:fill="auto"/>
                  <w:vAlign w:val="center"/>
                </w:tcPr>
                <w:p w14:paraId="37F5CAF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633" w:type="pct"/>
                  <w:vAlign w:val="center"/>
                </w:tcPr>
                <w:p w14:paraId="224CEDE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0.0155</w:t>
                  </w:r>
                </w:p>
              </w:tc>
            </w:tr>
            <w:tr w14:paraId="0218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2F6BC9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3A2BA9C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6F62F17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shd w:val="clear" w:color="auto" w:fill="auto"/>
                  <w:vAlign w:val="center"/>
                </w:tcPr>
                <w:p w14:paraId="660146C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2</w:t>
                  </w:r>
                </w:p>
              </w:tc>
              <w:tc>
                <w:tcPr>
                  <w:tcW w:w="670" w:type="pct"/>
                  <w:vAlign w:val="center"/>
                </w:tcPr>
                <w:p w14:paraId="3B2D48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7311</w:t>
                  </w:r>
                </w:p>
              </w:tc>
              <w:tc>
                <w:tcPr>
                  <w:tcW w:w="540" w:type="pct"/>
                  <w:vAlign w:val="center"/>
                </w:tcPr>
                <w:p w14:paraId="204A2D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3.05</w:t>
                  </w:r>
                </w:p>
              </w:tc>
              <w:tc>
                <w:tcPr>
                  <w:tcW w:w="559" w:type="pct"/>
                  <w:shd w:val="clear" w:color="auto" w:fill="auto"/>
                  <w:vAlign w:val="center"/>
                </w:tcPr>
                <w:p w14:paraId="3994603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550" w:type="pct"/>
                  <w:shd w:val="clear" w:color="auto" w:fill="auto"/>
                  <w:vAlign w:val="center"/>
                </w:tcPr>
                <w:p w14:paraId="509CCBF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633" w:type="pct"/>
                  <w:vAlign w:val="center"/>
                </w:tcPr>
                <w:p w14:paraId="5B375B3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0.0146</w:t>
                  </w:r>
                </w:p>
              </w:tc>
            </w:tr>
            <w:tr w14:paraId="2CC8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05A9B4B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174DE2A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shd w:val="clear" w:color="auto" w:fill="auto"/>
                  <w:vAlign w:val="center"/>
                </w:tcPr>
                <w:p w14:paraId="650DD4F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372" w:type="pct"/>
                  <w:shd w:val="clear" w:color="auto" w:fill="auto"/>
                  <w:vAlign w:val="center"/>
                </w:tcPr>
                <w:p w14:paraId="78A275F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3</w:t>
                  </w:r>
                </w:p>
              </w:tc>
              <w:tc>
                <w:tcPr>
                  <w:tcW w:w="670" w:type="pct"/>
                  <w:vAlign w:val="center"/>
                </w:tcPr>
                <w:p w14:paraId="757E292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7308</w:t>
                  </w:r>
                </w:p>
              </w:tc>
              <w:tc>
                <w:tcPr>
                  <w:tcW w:w="540" w:type="pct"/>
                  <w:vAlign w:val="center"/>
                </w:tcPr>
                <w:p w14:paraId="0FD5E60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2.99</w:t>
                  </w:r>
                </w:p>
              </w:tc>
              <w:tc>
                <w:tcPr>
                  <w:tcW w:w="559" w:type="pct"/>
                  <w:shd w:val="clear" w:color="auto" w:fill="auto"/>
                  <w:vAlign w:val="center"/>
                </w:tcPr>
                <w:p w14:paraId="264FAE6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550" w:type="pct"/>
                  <w:shd w:val="clear" w:color="auto" w:fill="auto"/>
                  <w:vAlign w:val="center"/>
                </w:tcPr>
                <w:p w14:paraId="31906A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633" w:type="pct"/>
                  <w:vAlign w:val="center"/>
                </w:tcPr>
                <w:p w14:paraId="344FD1E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0.0149</w:t>
                  </w:r>
                </w:p>
              </w:tc>
            </w:tr>
            <w:tr w14:paraId="1A690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66EA6CE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4357B74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895" w:type="pct"/>
                  <w:gridSpan w:val="2"/>
                  <w:shd w:val="clear" w:color="auto" w:fill="auto"/>
                  <w:vAlign w:val="center"/>
                </w:tcPr>
                <w:p w14:paraId="714BD5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标准限值</w:t>
                  </w:r>
                </w:p>
              </w:tc>
              <w:tc>
                <w:tcPr>
                  <w:tcW w:w="670" w:type="pct"/>
                  <w:vAlign w:val="center"/>
                </w:tcPr>
                <w:p w14:paraId="3EBBC3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40" w:type="pct"/>
                  <w:vAlign w:val="center"/>
                </w:tcPr>
                <w:p w14:paraId="096C6CC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9" w:type="pct"/>
                  <w:vAlign w:val="center"/>
                </w:tcPr>
                <w:p w14:paraId="0E7E1A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0" w:type="pct"/>
                  <w:shd w:val="clear" w:color="auto" w:fill="auto"/>
                  <w:vAlign w:val="center"/>
                </w:tcPr>
                <w:p w14:paraId="1AF407A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35</w:t>
                  </w:r>
                </w:p>
              </w:tc>
              <w:tc>
                <w:tcPr>
                  <w:tcW w:w="633" w:type="pct"/>
                  <w:shd w:val="clear" w:color="auto" w:fill="auto"/>
                  <w:vAlign w:val="center"/>
                </w:tcPr>
                <w:p w14:paraId="33313BA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w:t>
                  </w:r>
                </w:p>
              </w:tc>
            </w:tr>
            <w:tr w14:paraId="20A3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restart"/>
                  <w:vAlign w:val="center"/>
                </w:tcPr>
                <w:p w14:paraId="7BDA011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2026.03.</w:t>
                  </w:r>
                  <w:r>
                    <w:rPr>
                      <w:rFonts w:hint="eastAsia" w:ascii="Times New Roman" w:hAnsi="Times New Roman" w:cs="Times New Roman"/>
                      <w:color w:val="auto"/>
                      <w:sz w:val="21"/>
                      <w:szCs w:val="21"/>
                      <w:vertAlign w:val="baseline"/>
                      <w:lang w:val="en-US" w:eastAsia="zh-CN"/>
                    </w:rPr>
                    <w:t>06</w:t>
                  </w:r>
                </w:p>
              </w:tc>
              <w:tc>
                <w:tcPr>
                  <w:tcW w:w="698" w:type="pct"/>
                  <w:vMerge w:val="restart"/>
                  <w:vAlign w:val="center"/>
                </w:tcPr>
                <w:p w14:paraId="15F2DAE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工业场地</w:t>
                  </w:r>
                  <w:r>
                    <w:rPr>
                      <w:rFonts w:hint="eastAsia" w:ascii="Times New Roman" w:hAnsi="Times New Roman" w:cs="Times New Roman"/>
                      <w:color w:val="auto"/>
                      <w:sz w:val="21"/>
                      <w:szCs w:val="21"/>
                      <w:vertAlign w:val="baseline"/>
                      <w:lang w:val="en-US" w:eastAsia="zh-CN"/>
                    </w:rPr>
                    <w:t>3</w:t>
                  </w:r>
                  <w:r>
                    <w:rPr>
                      <w:rFonts w:hint="eastAsia" w:ascii="Times New Roman" w:hAnsi="Times New Roman" w:eastAsia="宋体" w:cs="Times New Roman"/>
                      <w:color w:val="auto"/>
                      <w:sz w:val="21"/>
                      <w:szCs w:val="21"/>
                      <w:vertAlign w:val="baseline"/>
                      <w:lang w:val="en-US" w:eastAsia="zh-CN"/>
                    </w:rPr>
                    <w:t>#20t/h燃气锅炉</w:t>
                  </w:r>
                </w:p>
              </w:tc>
              <w:tc>
                <w:tcPr>
                  <w:tcW w:w="522" w:type="pct"/>
                  <w:vMerge w:val="restart"/>
                  <w:shd w:val="clear" w:color="auto" w:fill="auto"/>
                  <w:vAlign w:val="center"/>
                </w:tcPr>
                <w:p w14:paraId="636D336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颗粒物</w:t>
                  </w:r>
                </w:p>
              </w:tc>
              <w:tc>
                <w:tcPr>
                  <w:tcW w:w="372" w:type="pct"/>
                  <w:shd w:val="clear" w:color="auto" w:fill="auto"/>
                  <w:vAlign w:val="center"/>
                </w:tcPr>
                <w:p w14:paraId="1C3342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1</w:t>
                  </w:r>
                </w:p>
              </w:tc>
              <w:tc>
                <w:tcPr>
                  <w:tcW w:w="670" w:type="pct"/>
                  <w:vAlign w:val="center"/>
                </w:tcPr>
                <w:p w14:paraId="43AA4B3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6136</w:t>
                  </w:r>
                </w:p>
              </w:tc>
              <w:tc>
                <w:tcPr>
                  <w:tcW w:w="540" w:type="pct"/>
                  <w:vAlign w:val="center"/>
                </w:tcPr>
                <w:p w14:paraId="5656969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2.99</w:t>
                  </w:r>
                </w:p>
              </w:tc>
              <w:tc>
                <w:tcPr>
                  <w:tcW w:w="559" w:type="pct"/>
                  <w:vAlign w:val="center"/>
                </w:tcPr>
                <w:p w14:paraId="3D99448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w:t>
                  </w:r>
                </w:p>
              </w:tc>
              <w:tc>
                <w:tcPr>
                  <w:tcW w:w="550" w:type="pct"/>
                  <w:vAlign w:val="center"/>
                </w:tcPr>
                <w:p w14:paraId="52DC61B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2.8</w:t>
                  </w:r>
                </w:p>
              </w:tc>
              <w:tc>
                <w:tcPr>
                  <w:tcW w:w="633" w:type="pct"/>
                  <w:vAlign w:val="center"/>
                </w:tcPr>
                <w:p w14:paraId="1B4B48A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0.0178</w:t>
                  </w:r>
                </w:p>
              </w:tc>
            </w:tr>
            <w:tr w14:paraId="1634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continue"/>
                  <w:vAlign w:val="center"/>
                </w:tcPr>
                <w:p w14:paraId="0C5CE51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23D265F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072E151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shd w:val="clear" w:color="auto" w:fill="auto"/>
                  <w:vAlign w:val="center"/>
                </w:tcPr>
                <w:p w14:paraId="6C35974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2</w:t>
                  </w:r>
                </w:p>
              </w:tc>
              <w:tc>
                <w:tcPr>
                  <w:tcW w:w="670" w:type="pct"/>
                  <w:vAlign w:val="center"/>
                </w:tcPr>
                <w:p w14:paraId="2768262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6320</w:t>
                  </w:r>
                </w:p>
              </w:tc>
              <w:tc>
                <w:tcPr>
                  <w:tcW w:w="540" w:type="pct"/>
                  <w:vAlign w:val="center"/>
                </w:tcPr>
                <w:p w14:paraId="31F5697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2.97</w:t>
                  </w:r>
                </w:p>
              </w:tc>
              <w:tc>
                <w:tcPr>
                  <w:tcW w:w="559" w:type="pct"/>
                  <w:vAlign w:val="center"/>
                </w:tcPr>
                <w:p w14:paraId="4F8449D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3.2</w:t>
                  </w:r>
                </w:p>
              </w:tc>
              <w:tc>
                <w:tcPr>
                  <w:tcW w:w="550" w:type="pct"/>
                  <w:vAlign w:val="center"/>
                </w:tcPr>
                <w:p w14:paraId="0FB399D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w:t>
                  </w:r>
                </w:p>
              </w:tc>
              <w:tc>
                <w:tcPr>
                  <w:tcW w:w="633" w:type="pct"/>
                  <w:vAlign w:val="center"/>
                </w:tcPr>
                <w:p w14:paraId="2B8AF91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0.0202</w:t>
                  </w:r>
                </w:p>
              </w:tc>
            </w:tr>
            <w:tr w14:paraId="3FD7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continue"/>
                  <w:vAlign w:val="center"/>
                </w:tcPr>
                <w:p w14:paraId="01E431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1EA7DE5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2E16251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shd w:val="clear" w:color="auto" w:fill="auto"/>
                  <w:vAlign w:val="center"/>
                </w:tcPr>
                <w:p w14:paraId="57FD61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3</w:t>
                  </w:r>
                </w:p>
              </w:tc>
              <w:tc>
                <w:tcPr>
                  <w:tcW w:w="670" w:type="pct"/>
                  <w:vAlign w:val="center"/>
                </w:tcPr>
                <w:p w14:paraId="32A13C1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6341</w:t>
                  </w:r>
                </w:p>
              </w:tc>
              <w:tc>
                <w:tcPr>
                  <w:tcW w:w="540" w:type="pct"/>
                  <w:vAlign w:val="center"/>
                </w:tcPr>
                <w:p w14:paraId="39C487E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2.97</w:t>
                  </w:r>
                </w:p>
              </w:tc>
              <w:tc>
                <w:tcPr>
                  <w:tcW w:w="559" w:type="pct"/>
                  <w:vAlign w:val="center"/>
                </w:tcPr>
                <w:p w14:paraId="60BB804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3.1</w:t>
                  </w:r>
                </w:p>
              </w:tc>
              <w:tc>
                <w:tcPr>
                  <w:tcW w:w="550" w:type="pct"/>
                  <w:vAlign w:val="center"/>
                </w:tcPr>
                <w:p w14:paraId="7B2E7CC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w:t>
                  </w:r>
                </w:p>
              </w:tc>
              <w:tc>
                <w:tcPr>
                  <w:tcW w:w="633" w:type="pct"/>
                  <w:vAlign w:val="center"/>
                </w:tcPr>
                <w:p w14:paraId="3AAF3E1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0.0197</w:t>
                  </w:r>
                </w:p>
              </w:tc>
            </w:tr>
            <w:tr w14:paraId="4C6C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0D7B203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5E0CC90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895" w:type="pct"/>
                  <w:gridSpan w:val="2"/>
                  <w:shd w:val="clear" w:color="auto" w:fill="auto"/>
                  <w:vAlign w:val="center"/>
                </w:tcPr>
                <w:p w14:paraId="55F42E0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标准限值</w:t>
                  </w:r>
                </w:p>
              </w:tc>
              <w:tc>
                <w:tcPr>
                  <w:tcW w:w="670" w:type="pct"/>
                  <w:vAlign w:val="center"/>
                </w:tcPr>
                <w:p w14:paraId="556C810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40" w:type="pct"/>
                  <w:vAlign w:val="center"/>
                </w:tcPr>
                <w:p w14:paraId="2109FA5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9" w:type="pct"/>
                  <w:vAlign w:val="center"/>
                </w:tcPr>
                <w:p w14:paraId="7C5AE9B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0" w:type="pct"/>
                  <w:vAlign w:val="center"/>
                </w:tcPr>
                <w:p w14:paraId="63ADF09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5.0</w:t>
                  </w:r>
                </w:p>
              </w:tc>
              <w:tc>
                <w:tcPr>
                  <w:tcW w:w="633" w:type="pct"/>
                  <w:vAlign w:val="center"/>
                </w:tcPr>
                <w:p w14:paraId="7652875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r>
            <w:tr w14:paraId="75B9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2E0A276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17FDFAE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restart"/>
                  <w:shd w:val="clear" w:color="auto" w:fill="auto"/>
                  <w:vAlign w:val="center"/>
                </w:tcPr>
                <w:p w14:paraId="24ADAD9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二氧化硫</w:t>
                  </w:r>
                </w:p>
              </w:tc>
              <w:tc>
                <w:tcPr>
                  <w:tcW w:w="372" w:type="pct"/>
                  <w:shd w:val="clear" w:color="auto" w:fill="auto"/>
                  <w:vAlign w:val="center"/>
                </w:tcPr>
                <w:p w14:paraId="33F068D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1</w:t>
                  </w:r>
                </w:p>
              </w:tc>
              <w:tc>
                <w:tcPr>
                  <w:tcW w:w="670" w:type="pct"/>
                  <w:vAlign w:val="center"/>
                </w:tcPr>
                <w:p w14:paraId="462E3B1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6174</w:t>
                  </w:r>
                </w:p>
              </w:tc>
              <w:tc>
                <w:tcPr>
                  <w:tcW w:w="540" w:type="pct"/>
                  <w:vAlign w:val="center"/>
                </w:tcPr>
                <w:p w14:paraId="2818E31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2.98</w:t>
                  </w:r>
                </w:p>
              </w:tc>
              <w:tc>
                <w:tcPr>
                  <w:tcW w:w="559" w:type="pct"/>
                  <w:shd w:val="clear" w:color="auto" w:fill="auto"/>
                  <w:vAlign w:val="center"/>
                </w:tcPr>
                <w:p w14:paraId="1A32DB0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550" w:type="pct"/>
                  <w:shd w:val="clear" w:color="auto" w:fill="auto"/>
                  <w:vAlign w:val="center"/>
                </w:tcPr>
                <w:p w14:paraId="7F97AEE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633" w:type="pct"/>
                  <w:shd w:val="clear" w:color="auto" w:fill="auto"/>
                  <w:vAlign w:val="center"/>
                </w:tcPr>
                <w:p w14:paraId="543C58C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0.0123</w:t>
                  </w:r>
                </w:p>
              </w:tc>
            </w:tr>
            <w:tr w14:paraId="3F2AB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0AD023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1EF5BD4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1F5ED01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shd w:val="clear" w:color="auto" w:fill="auto"/>
                  <w:vAlign w:val="center"/>
                </w:tcPr>
                <w:p w14:paraId="71C8A6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2</w:t>
                  </w:r>
                </w:p>
              </w:tc>
              <w:tc>
                <w:tcPr>
                  <w:tcW w:w="670" w:type="pct"/>
                  <w:vAlign w:val="center"/>
                </w:tcPr>
                <w:p w14:paraId="78F6825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6309</w:t>
                  </w:r>
                </w:p>
              </w:tc>
              <w:tc>
                <w:tcPr>
                  <w:tcW w:w="540" w:type="pct"/>
                  <w:vAlign w:val="center"/>
                </w:tcPr>
                <w:p w14:paraId="36A35CF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2.95</w:t>
                  </w:r>
                </w:p>
              </w:tc>
              <w:tc>
                <w:tcPr>
                  <w:tcW w:w="559" w:type="pct"/>
                  <w:shd w:val="clear" w:color="auto" w:fill="auto"/>
                  <w:vAlign w:val="center"/>
                </w:tcPr>
                <w:p w14:paraId="36901C9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550" w:type="pct"/>
                  <w:shd w:val="clear" w:color="auto" w:fill="auto"/>
                  <w:vAlign w:val="center"/>
                </w:tcPr>
                <w:p w14:paraId="41FDA14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633" w:type="pct"/>
                  <w:shd w:val="clear" w:color="auto" w:fill="auto"/>
                  <w:vAlign w:val="center"/>
                </w:tcPr>
                <w:p w14:paraId="134E8A2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0.0126</w:t>
                  </w:r>
                </w:p>
              </w:tc>
            </w:tr>
            <w:tr w14:paraId="3430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131FDF3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19427CA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shd w:val="clear" w:color="auto" w:fill="auto"/>
                  <w:vAlign w:val="center"/>
                </w:tcPr>
                <w:p w14:paraId="0B6DE6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372" w:type="pct"/>
                  <w:shd w:val="clear" w:color="auto" w:fill="auto"/>
                  <w:vAlign w:val="center"/>
                </w:tcPr>
                <w:p w14:paraId="53BA9ED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3</w:t>
                  </w:r>
                </w:p>
              </w:tc>
              <w:tc>
                <w:tcPr>
                  <w:tcW w:w="670" w:type="pct"/>
                  <w:vAlign w:val="center"/>
                </w:tcPr>
                <w:p w14:paraId="5B0543C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5944</w:t>
                  </w:r>
                </w:p>
              </w:tc>
              <w:tc>
                <w:tcPr>
                  <w:tcW w:w="540" w:type="pct"/>
                  <w:vAlign w:val="center"/>
                </w:tcPr>
                <w:p w14:paraId="6F2CB09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3.02</w:t>
                  </w:r>
                </w:p>
              </w:tc>
              <w:tc>
                <w:tcPr>
                  <w:tcW w:w="559" w:type="pct"/>
                  <w:shd w:val="clear" w:color="auto" w:fill="auto"/>
                  <w:vAlign w:val="center"/>
                </w:tcPr>
                <w:p w14:paraId="651B86C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550" w:type="pct"/>
                  <w:shd w:val="clear" w:color="auto" w:fill="auto"/>
                  <w:vAlign w:val="center"/>
                </w:tcPr>
                <w:p w14:paraId="427B663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633" w:type="pct"/>
                  <w:shd w:val="clear" w:color="auto" w:fill="auto"/>
                  <w:vAlign w:val="center"/>
                </w:tcPr>
                <w:p w14:paraId="4A716C4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0.0119</w:t>
                  </w:r>
                </w:p>
              </w:tc>
            </w:tr>
            <w:tr w14:paraId="7B0A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4D32DC0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47565E8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895" w:type="pct"/>
                  <w:gridSpan w:val="2"/>
                  <w:shd w:val="clear" w:color="auto" w:fill="auto"/>
                  <w:vAlign w:val="center"/>
                </w:tcPr>
                <w:p w14:paraId="0F84CBF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标准限值</w:t>
                  </w:r>
                </w:p>
              </w:tc>
              <w:tc>
                <w:tcPr>
                  <w:tcW w:w="670" w:type="pct"/>
                  <w:vAlign w:val="center"/>
                </w:tcPr>
                <w:p w14:paraId="11A7743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40" w:type="pct"/>
                  <w:vAlign w:val="center"/>
                </w:tcPr>
                <w:p w14:paraId="7110F1F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9" w:type="pct"/>
                  <w:vAlign w:val="center"/>
                </w:tcPr>
                <w:p w14:paraId="57F4C96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0" w:type="pct"/>
                  <w:vAlign w:val="center"/>
                </w:tcPr>
                <w:p w14:paraId="6EC46E5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35</w:t>
                  </w:r>
                </w:p>
              </w:tc>
              <w:tc>
                <w:tcPr>
                  <w:tcW w:w="633" w:type="pct"/>
                  <w:vAlign w:val="center"/>
                </w:tcPr>
                <w:p w14:paraId="0742B97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r>
            <w:tr w14:paraId="75EF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restart"/>
                  <w:vAlign w:val="center"/>
                </w:tcPr>
                <w:p w14:paraId="043D416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2026.03.05</w:t>
                  </w:r>
                </w:p>
              </w:tc>
              <w:tc>
                <w:tcPr>
                  <w:tcW w:w="698" w:type="pct"/>
                  <w:vMerge w:val="restart"/>
                  <w:vAlign w:val="center"/>
                </w:tcPr>
                <w:p w14:paraId="725F5CF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工业场地</w:t>
                  </w:r>
                  <w:r>
                    <w:rPr>
                      <w:rFonts w:hint="eastAsia" w:ascii="Times New Roman" w:hAnsi="Times New Roman" w:cs="Times New Roman"/>
                      <w:color w:val="auto"/>
                      <w:sz w:val="21"/>
                      <w:szCs w:val="21"/>
                      <w:vertAlign w:val="baseline"/>
                      <w:lang w:val="en-US" w:eastAsia="zh-CN"/>
                    </w:rPr>
                    <w:t>4</w:t>
                  </w:r>
                  <w:r>
                    <w:rPr>
                      <w:rFonts w:hint="eastAsia" w:ascii="Times New Roman" w:hAnsi="Times New Roman" w:eastAsia="宋体" w:cs="Times New Roman"/>
                      <w:color w:val="auto"/>
                      <w:sz w:val="21"/>
                      <w:szCs w:val="21"/>
                      <w:vertAlign w:val="baseline"/>
                      <w:lang w:val="en-US" w:eastAsia="zh-CN"/>
                    </w:rPr>
                    <w:t>#20t/h燃气锅炉</w:t>
                  </w:r>
                </w:p>
              </w:tc>
              <w:tc>
                <w:tcPr>
                  <w:tcW w:w="522" w:type="pct"/>
                  <w:vMerge w:val="restart"/>
                  <w:shd w:val="clear" w:color="auto" w:fill="auto"/>
                  <w:vAlign w:val="center"/>
                </w:tcPr>
                <w:p w14:paraId="27067B9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颗粒物</w:t>
                  </w:r>
                </w:p>
              </w:tc>
              <w:tc>
                <w:tcPr>
                  <w:tcW w:w="372" w:type="pct"/>
                  <w:shd w:val="clear" w:color="auto" w:fill="auto"/>
                  <w:vAlign w:val="center"/>
                </w:tcPr>
                <w:p w14:paraId="25E9F2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1</w:t>
                  </w:r>
                </w:p>
              </w:tc>
              <w:tc>
                <w:tcPr>
                  <w:tcW w:w="670" w:type="pct"/>
                  <w:vAlign w:val="center"/>
                </w:tcPr>
                <w:p w14:paraId="67D5CDF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5458</w:t>
                  </w:r>
                </w:p>
              </w:tc>
              <w:tc>
                <w:tcPr>
                  <w:tcW w:w="540" w:type="pct"/>
                  <w:vAlign w:val="center"/>
                </w:tcPr>
                <w:p w14:paraId="434051E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1.41</w:t>
                  </w:r>
                </w:p>
              </w:tc>
              <w:tc>
                <w:tcPr>
                  <w:tcW w:w="559" w:type="pct"/>
                  <w:vAlign w:val="center"/>
                </w:tcPr>
                <w:p w14:paraId="58107EE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2.6</w:t>
                  </w:r>
                </w:p>
              </w:tc>
              <w:tc>
                <w:tcPr>
                  <w:tcW w:w="550" w:type="pct"/>
                  <w:vAlign w:val="center"/>
                </w:tcPr>
                <w:p w14:paraId="0B4F1EE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2.3</w:t>
                  </w:r>
                </w:p>
              </w:tc>
              <w:tc>
                <w:tcPr>
                  <w:tcW w:w="633" w:type="pct"/>
                  <w:vAlign w:val="center"/>
                </w:tcPr>
                <w:p w14:paraId="213957F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0.0142</w:t>
                  </w:r>
                </w:p>
              </w:tc>
            </w:tr>
            <w:tr w14:paraId="21A8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continue"/>
                  <w:vAlign w:val="center"/>
                </w:tcPr>
                <w:p w14:paraId="121D2D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5BBA4E6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78C175C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shd w:val="clear" w:color="auto" w:fill="auto"/>
                  <w:vAlign w:val="center"/>
                </w:tcPr>
                <w:p w14:paraId="181433B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2</w:t>
                  </w:r>
                </w:p>
              </w:tc>
              <w:tc>
                <w:tcPr>
                  <w:tcW w:w="670" w:type="pct"/>
                  <w:vAlign w:val="center"/>
                </w:tcPr>
                <w:p w14:paraId="60D5D55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5638</w:t>
                  </w:r>
                </w:p>
              </w:tc>
              <w:tc>
                <w:tcPr>
                  <w:tcW w:w="540" w:type="pct"/>
                  <w:vAlign w:val="center"/>
                </w:tcPr>
                <w:p w14:paraId="3691135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1.45</w:t>
                  </w:r>
                </w:p>
              </w:tc>
              <w:tc>
                <w:tcPr>
                  <w:tcW w:w="559" w:type="pct"/>
                  <w:vAlign w:val="center"/>
                </w:tcPr>
                <w:p w14:paraId="33D9E81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2.8</w:t>
                  </w:r>
                </w:p>
              </w:tc>
              <w:tc>
                <w:tcPr>
                  <w:tcW w:w="550" w:type="pct"/>
                  <w:vAlign w:val="center"/>
                </w:tcPr>
                <w:p w14:paraId="1B4BA40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2.5</w:t>
                  </w:r>
                </w:p>
              </w:tc>
              <w:tc>
                <w:tcPr>
                  <w:tcW w:w="633" w:type="pct"/>
                  <w:vAlign w:val="center"/>
                </w:tcPr>
                <w:p w14:paraId="2193736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0.0158</w:t>
                  </w:r>
                </w:p>
              </w:tc>
            </w:tr>
            <w:tr w14:paraId="53D98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451" w:type="pct"/>
                  <w:vMerge w:val="continue"/>
                  <w:vAlign w:val="center"/>
                </w:tcPr>
                <w:p w14:paraId="2947107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3D0F5BC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shd w:val="clear" w:color="auto" w:fill="auto"/>
                  <w:vAlign w:val="center"/>
                </w:tcPr>
                <w:p w14:paraId="31B085B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372" w:type="pct"/>
                  <w:shd w:val="clear" w:color="auto" w:fill="auto"/>
                  <w:vAlign w:val="center"/>
                </w:tcPr>
                <w:p w14:paraId="676F102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3</w:t>
                  </w:r>
                </w:p>
              </w:tc>
              <w:tc>
                <w:tcPr>
                  <w:tcW w:w="670" w:type="pct"/>
                  <w:vAlign w:val="center"/>
                </w:tcPr>
                <w:p w14:paraId="44CE283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4900</w:t>
                  </w:r>
                </w:p>
              </w:tc>
              <w:tc>
                <w:tcPr>
                  <w:tcW w:w="540" w:type="pct"/>
                  <w:vAlign w:val="center"/>
                </w:tcPr>
                <w:p w14:paraId="7F10B65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1.42</w:t>
                  </w:r>
                </w:p>
              </w:tc>
              <w:tc>
                <w:tcPr>
                  <w:tcW w:w="559" w:type="pct"/>
                  <w:vAlign w:val="center"/>
                </w:tcPr>
                <w:p w14:paraId="6D0A3F9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2.8</w:t>
                  </w:r>
                </w:p>
              </w:tc>
              <w:tc>
                <w:tcPr>
                  <w:tcW w:w="550" w:type="pct"/>
                  <w:vAlign w:val="center"/>
                </w:tcPr>
                <w:p w14:paraId="0BCD6C4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2.5</w:t>
                  </w:r>
                </w:p>
              </w:tc>
              <w:tc>
                <w:tcPr>
                  <w:tcW w:w="633" w:type="pct"/>
                  <w:vAlign w:val="center"/>
                </w:tcPr>
                <w:p w14:paraId="5CD92F7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0.0137</w:t>
                  </w:r>
                </w:p>
              </w:tc>
            </w:tr>
            <w:tr w14:paraId="7156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0190315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055EF60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895" w:type="pct"/>
                  <w:gridSpan w:val="2"/>
                  <w:shd w:val="clear" w:color="auto" w:fill="auto"/>
                  <w:vAlign w:val="center"/>
                </w:tcPr>
                <w:p w14:paraId="653D8E5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标准限值</w:t>
                  </w:r>
                </w:p>
              </w:tc>
              <w:tc>
                <w:tcPr>
                  <w:tcW w:w="670" w:type="pct"/>
                  <w:vAlign w:val="center"/>
                </w:tcPr>
                <w:p w14:paraId="666A586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40" w:type="pct"/>
                  <w:vAlign w:val="center"/>
                </w:tcPr>
                <w:p w14:paraId="02E5D99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9" w:type="pct"/>
                  <w:vAlign w:val="center"/>
                </w:tcPr>
                <w:p w14:paraId="7B5EA7A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0" w:type="pct"/>
                  <w:vAlign w:val="center"/>
                </w:tcPr>
                <w:p w14:paraId="45F2ACD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5.0</w:t>
                  </w:r>
                </w:p>
              </w:tc>
              <w:tc>
                <w:tcPr>
                  <w:tcW w:w="633" w:type="pct"/>
                  <w:vAlign w:val="center"/>
                </w:tcPr>
                <w:p w14:paraId="77FB19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r>
            <w:tr w14:paraId="01E2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79D0AF8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3CAE8EF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restart"/>
                  <w:shd w:val="clear" w:color="auto" w:fill="auto"/>
                  <w:vAlign w:val="center"/>
                </w:tcPr>
                <w:p w14:paraId="2761C0D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二氧化硫</w:t>
                  </w:r>
                </w:p>
              </w:tc>
              <w:tc>
                <w:tcPr>
                  <w:tcW w:w="372" w:type="pct"/>
                  <w:shd w:val="clear" w:color="auto" w:fill="auto"/>
                  <w:vAlign w:val="center"/>
                </w:tcPr>
                <w:p w14:paraId="0ACF4C6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1</w:t>
                  </w:r>
                </w:p>
              </w:tc>
              <w:tc>
                <w:tcPr>
                  <w:tcW w:w="670" w:type="pct"/>
                  <w:vAlign w:val="center"/>
                </w:tcPr>
                <w:p w14:paraId="4235B75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5675</w:t>
                  </w:r>
                </w:p>
              </w:tc>
              <w:tc>
                <w:tcPr>
                  <w:tcW w:w="540" w:type="pct"/>
                  <w:vAlign w:val="center"/>
                </w:tcPr>
                <w:p w14:paraId="5F33382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1.52</w:t>
                  </w:r>
                </w:p>
              </w:tc>
              <w:tc>
                <w:tcPr>
                  <w:tcW w:w="559" w:type="pct"/>
                  <w:shd w:val="clear" w:color="auto" w:fill="auto"/>
                  <w:vAlign w:val="center"/>
                </w:tcPr>
                <w:p w14:paraId="0B7FDCE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550" w:type="pct"/>
                  <w:shd w:val="clear" w:color="auto" w:fill="auto"/>
                  <w:vAlign w:val="center"/>
                </w:tcPr>
                <w:p w14:paraId="65C195A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633" w:type="pct"/>
                  <w:shd w:val="clear" w:color="auto" w:fill="auto"/>
                  <w:vAlign w:val="center"/>
                </w:tcPr>
                <w:p w14:paraId="3E9A1CF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0.0114</w:t>
                  </w:r>
                </w:p>
              </w:tc>
            </w:tr>
            <w:tr w14:paraId="07D2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6F441F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1C1FE41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vAlign w:val="center"/>
                </w:tcPr>
                <w:p w14:paraId="4794207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372" w:type="pct"/>
                  <w:shd w:val="clear" w:color="auto" w:fill="auto"/>
                  <w:vAlign w:val="center"/>
                </w:tcPr>
                <w:p w14:paraId="3B0462F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2</w:t>
                  </w:r>
                </w:p>
              </w:tc>
              <w:tc>
                <w:tcPr>
                  <w:tcW w:w="670" w:type="pct"/>
                  <w:vAlign w:val="center"/>
                </w:tcPr>
                <w:p w14:paraId="381399E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5859</w:t>
                  </w:r>
                </w:p>
              </w:tc>
              <w:tc>
                <w:tcPr>
                  <w:tcW w:w="540" w:type="pct"/>
                  <w:vAlign w:val="center"/>
                </w:tcPr>
                <w:p w14:paraId="6EF70C0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1.58</w:t>
                  </w:r>
                </w:p>
              </w:tc>
              <w:tc>
                <w:tcPr>
                  <w:tcW w:w="559" w:type="pct"/>
                  <w:shd w:val="clear" w:color="auto" w:fill="auto"/>
                  <w:vAlign w:val="center"/>
                </w:tcPr>
                <w:p w14:paraId="42220FD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550" w:type="pct"/>
                  <w:shd w:val="clear" w:color="auto" w:fill="auto"/>
                  <w:vAlign w:val="center"/>
                </w:tcPr>
                <w:p w14:paraId="7CFDB42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633" w:type="pct"/>
                  <w:shd w:val="clear" w:color="auto" w:fill="auto"/>
                  <w:vAlign w:val="center"/>
                </w:tcPr>
                <w:p w14:paraId="05CDEC2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0.0117</w:t>
                  </w:r>
                </w:p>
              </w:tc>
            </w:tr>
            <w:tr w14:paraId="3C3C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1" w:type="pct"/>
                  <w:vMerge w:val="continue"/>
                  <w:vAlign w:val="center"/>
                </w:tcPr>
                <w:p w14:paraId="09B2B1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40E9022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522" w:type="pct"/>
                  <w:vMerge w:val="continue"/>
                  <w:shd w:val="clear" w:color="auto" w:fill="auto"/>
                  <w:vAlign w:val="center"/>
                </w:tcPr>
                <w:p w14:paraId="7652BD0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c>
                <w:tcPr>
                  <w:tcW w:w="372" w:type="pct"/>
                  <w:shd w:val="clear" w:color="auto" w:fill="auto"/>
                  <w:vAlign w:val="center"/>
                </w:tcPr>
                <w:p w14:paraId="26F8087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3</w:t>
                  </w:r>
                </w:p>
              </w:tc>
              <w:tc>
                <w:tcPr>
                  <w:tcW w:w="670" w:type="pct"/>
                  <w:vAlign w:val="center"/>
                </w:tcPr>
                <w:p w14:paraId="174FFD3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5429</w:t>
                  </w:r>
                </w:p>
              </w:tc>
              <w:tc>
                <w:tcPr>
                  <w:tcW w:w="540" w:type="pct"/>
                  <w:vAlign w:val="center"/>
                </w:tcPr>
                <w:p w14:paraId="2FD0443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1.60</w:t>
                  </w:r>
                </w:p>
              </w:tc>
              <w:tc>
                <w:tcPr>
                  <w:tcW w:w="559" w:type="pct"/>
                  <w:shd w:val="clear" w:color="auto" w:fill="auto"/>
                  <w:vAlign w:val="center"/>
                </w:tcPr>
                <w:p w14:paraId="3326ADA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550" w:type="pct"/>
                  <w:shd w:val="clear" w:color="auto" w:fill="auto"/>
                  <w:vAlign w:val="center"/>
                </w:tcPr>
                <w:p w14:paraId="4D57C4C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ND</w:t>
                  </w:r>
                </w:p>
              </w:tc>
              <w:tc>
                <w:tcPr>
                  <w:tcW w:w="633" w:type="pct"/>
                  <w:shd w:val="clear" w:color="auto" w:fill="auto"/>
                  <w:vAlign w:val="center"/>
                </w:tcPr>
                <w:p w14:paraId="19622B2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0.0109</w:t>
                  </w:r>
                </w:p>
              </w:tc>
            </w:tr>
            <w:tr w14:paraId="7F843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451" w:type="pct"/>
                  <w:vMerge w:val="continue"/>
                  <w:vAlign w:val="center"/>
                </w:tcPr>
                <w:p w14:paraId="0D3B275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698" w:type="pct"/>
                  <w:vMerge w:val="continue"/>
                  <w:vAlign w:val="center"/>
                </w:tcPr>
                <w:p w14:paraId="5BE3A91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895" w:type="pct"/>
                  <w:gridSpan w:val="2"/>
                  <w:shd w:val="clear" w:color="auto" w:fill="auto"/>
                  <w:vAlign w:val="center"/>
                </w:tcPr>
                <w:p w14:paraId="59528CE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标准限值</w:t>
                  </w:r>
                </w:p>
              </w:tc>
              <w:tc>
                <w:tcPr>
                  <w:tcW w:w="670" w:type="pct"/>
                  <w:vAlign w:val="center"/>
                </w:tcPr>
                <w:p w14:paraId="0852CAE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40" w:type="pct"/>
                  <w:vAlign w:val="center"/>
                </w:tcPr>
                <w:p w14:paraId="1EE0D31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9" w:type="pct"/>
                  <w:vAlign w:val="center"/>
                </w:tcPr>
                <w:p w14:paraId="52F7FCA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c>
                <w:tcPr>
                  <w:tcW w:w="550" w:type="pct"/>
                  <w:vAlign w:val="center"/>
                </w:tcPr>
                <w:p w14:paraId="0B9D897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35</w:t>
                  </w:r>
                </w:p>
              </w:tc>
              <w:tc>
                <w:tcPr>
                  <w:tcW w:w="633" w:type="pct"/>
                  <w:vAlign w:val="center"/>
                </w:tcPr>
                <w:p w14:paraId="65618EF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p>
              </w:tc>
            </w:tr>
          </w:tbl>
          <w:p w14:paraId="0A80CEF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表</w:t>
            </w:r>
            <w:r>
              <w:rPr>
                <w:rFonts w:hint="eastAsia" w:eastAsia="黑体" w:cs="Times New Roman"/>
                <w:color w:val="auto"/>
                <w:sz w:val="21"/>
                <w:szCs w:val="21"/>
                <w:lang w:val="en-US" w:eastAsia="zh-CN"/>
              </w:rPr>
              <w:t>2.11-2</w:t>
            </w:r>
            <w:r>
              <w:rPr>
                <w:rFonts w:hint="default" w:ascii="Times New Roman" w:hAnsi="Times New Roman" w:eastAsia="黑体" w:cs="Times New Roman"/>
                <w:color w:val="auto"/>
                <w:sz w:val="21"/>
                <w:szCs w:val="21"/>
                <w:lang w:val="en-US" w:eastAsia="zh-CN"/>
              </w:rPr>
              <w:t xml:space="preserve">  </w:t>
            </w:r>
            <w:r>
              <w:rPr>
                <w:rFonts w:hint="eastAsia" w:ascii="Times New Roman" w:hAnsi="Times New Roman" w:eastAsia="黑体" w:cs="Times New Roman"/>
                <w:color w:val="auto"/>
                <w:sz w:val="21"/>
                <w:szCs w:val="21"/>
                <w:lang w:val="en-US" w:eastAsia="zh-CN"/>
              </w:rPr>
              <w:t>主井工业场地1#-4#锅炉废气</w:t>
            </w:r>
            <w:r>
              <w:rPr>
                <w:rFonts w:hint="eastAsia" w:eastAsia="黑体" w:cs="Times New Roman"/>
                <w:color w:val="auto"/>
                <w:sz w:val="21"/>
                <w:szCs w:val="21"/>
                <w:lang w:val="en-US" w:eastAsia="zh-CN"/>
              </w:rPr>
              <w:t>烟气黑度</w:t>
            </w:r>
            <w:r>
              <w:rPr>
                <w:rFonts w:hint="default" w:ascii="Times New Roman" w:hAnsi="Times New Roman" w:eastAsia="黑体" w:cs="Times New Roman"/>
                <w:color w:val="auto"/>
                <w:sz w:val="21"/>
                <w:szCs w:val="21"/>
                <w:lang w:val="en-US" w:eastAsia="zh-CN"/>
              </w:rPr>
              <w:t>监测结果</w:t>
            </w:r>
          </w:p>
          <w:tbl>
            <w:tblPr>
              <w:tblStyle w:val="25"/>
              <w:tblW w:w="7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1823"/>
              <w:gridCol w:w="1810"/>
              <w:gridCol w:w="2366"/>
            </w:tblGrid>
            <w:tr w14:paraId="608D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shd w:val="clear" w:color="auto" w:fill="auto"/>
                  <w:vAlign w:val="center"/>
                </w:tcPr>
                <w:p w14:paraId="08715D5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监测日期</w:t>
                  </w:r>
                </w:p>
              </w:tc>
              <w:tc>
                <w:tcPr>
                  <w:tcW w:w="1823" w:type="dxa"/>
                  <w:shd w:val="clear" w:color="auto" w:fill="auto"/>
                  <w:vAlign w:val="center"/>
                </w:tcPr>
                <w:p w14:paraId="110E1AC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监测点位</w:t>
                  </w:r>
                </w:p>
              </w:tc>
              <w:tc>
                <w:tcPr>
                  <w:tcW w:w="1810" w:type="dxa"/>
                  <w:vAlign w:val="center"/>
                </w:tcPr>
                <w:p w14:paraId="5ED35D1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监测频次</w:t>
                  </w:r>
                </w:p>
              </w:tc>
              <w:tc>
                <w:tcPr>
                  <w:tcW w:w="2366" w:type="dxa"/>
                  <w:vAlign w:val="center"/>
                </w:tcPr>
                <w:p w14:paraId="54E322F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烟气黑度</w:t>
                  </w:r>
                </w:p>
              </w:tc>
            </w:tr>
            <w:tr w14:paraId="28C7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restart"/>
                  <w:vAlign w:val="center"/>
                </w:tcPr>
                <w:p w14:paraId="68C083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2026.03.07</w:t>
                  </w:r>
                </w:p>
              </w:tc>
              <w:tc>
                <w:tcPr>
                  <w:tcW w:w="1823" w:type="dxa"/>
                  <w:vMerge w:val="restart"/>
                  <w:vAlign w:val="center"/>
                </w:tcPr>
                <w:p w14:paraId="71761B3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工业场地1#20t/h燃气锅炉</w:t>
                  </w:r>
                </w:p>
              </w:tc>
              <w:tc>
                <w:tcPr>
                  <w:tcW w:w="1810" w:type="dxa"/>
                  <w:vAlign w:val="center"/>
                </w:tcPr>
                <w:p w14:paraId="6A6B533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1</w:t>
                  </w:r>
                </w:p>
              </w:tc>
              <w:tc>
                <w:tcPr>
                  <w:tcW w:w="2366" w:type="dxa"/>
                  <w:vAlign w:val="center"/>
                </w:tcPr>
                <w:p w14:paraId="168B940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7D18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continue"/>
                  <w:vAlign w:val="center"/>
                </w:tcPr>
                <w:p w14:paraId="04CBE8F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23" w:type="dxa"/>
                  <w:vMerge w:val="continue"/>
                  <w:vAlign w:val="center"/>
                </w:tcPr>
                <w:p w14:paraId="4BA0FE3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10" w:type="dxa"/>
                  <w:vAlign w:val="center"/>
                </w:tcPr>
                <w:p w14:paraId="02398D0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w:t>
                  </w:r>
                </w:p>
              </w:tc>
              <w:tc>
                <w:tcPr>
                  <w:tcW w:w="2366" w:type="dxa"/>
                  <w:vAlign w:val="center"/>
                </w:tcPr>
                <w:p w14:paraId="156E942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3F52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continue"/>
                  <w:vAlign w:val="center"/>
                </w:tcPr>
                <w:p w14:paraId="76A714E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23" w:type="dxa"/>
                  <w:vMerge w:val="continue"/>
                  <w:vAlign w:val="center"/>
                </w:tcPr>
                <w:p w14:paraId="1843FB9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10" w:type="dxa"/>
                  <w:vAlign w:val="center"/>
                </w:tcPr>
                <w:p w14:paraId="477095C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3</w:t>
                  </w:r>
                </w:p>
              </w:tc>
              <w:tc>
                <w:tcPr>
                  <w:tcW w:w="2366" w:type="dxa"/>
                  <w:vAlign w:val="center"/>
                </w:tcPr>
                <w:p w14:paraId="4EAC6CC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24BB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restart"/>
                  <w:vAlign w:val="center"/>
                </w:tcPr>
                <w:p w14:paraId="11EFDFF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2026.03.18</w:t>
                  </w:r>
                </w:p>
              </w:tc>
              <w:tc>
                <w:tcPr>
                  <w:tcW w:w="1823" w:type="dxa"/>
                  <w:vMerge w:val="restart"/>
                  <w:vAlign w:val="center"/>
                </w:tcPr>
                <w:p w14:paraId="4A3D294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工业场地</w:t>
                  </w:r>
                  <w:r>
                    <w:rPr>
                      <w:rFonts w:hint="eastAsia" w:ascii="Times New Roman" w:hAnsi="Times New Roman" w:cs="Times New Roman"/>
                      <w:color w:val="auto"/>
                      <w:sz w:val="21"/>
                      <w:szCs w:val="21"/>
                      <w:vertAlign w:val="baseline"/>
                      <w:lang w:val="en-US" w:eastAsia="zh-CN"/>
                    </w:rPr>
                    <w:t>2</w:t>
                  </w:r>
                  <w:r>
                    <w:rPr>
                      <w:rFonts w:hint="default" w:ascii="Times New Roman" w:hAnsi="Times New Roman" w:eastAsia="宋体" w:cs="Times New Roman"/>
                      <w:color w:val="auto"/>
                      <w:sz w:val="21"/>
                      <w:szCs w:val="21"/>
                      <w:vertAlign w:val="baseline"/>
                      <w:lang w:val="en-US" w:eastAsia="zh-CN"/>
                    </w:rPr>
                    <w:t>#20t/h燃气锅炉</w:t>
                  </w:r>
                </w:p>
              </w:tc>
              <w:tc>
                <w:tcPr>
                  <w:tcW w:w="1810" w:type="dxa"/>
                  <w:shd w:val="clear" w:color="auto" w:fill="auto"/>
                  <w:vAlign w:val="center"/>
                </w:tcPr>
                <w:p w14:paraId="4C1B780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1</w:t>
                  </w:r>
                </w:p>
              </w:tc>
              <w:tc>
                <w:tcPr>
                  <w:tcW w:w="2366" w:type="dxa"/>
                  <w:vAlign w:val="center"/>
                </w:tcPr>
                <w:p w14:paraId="4B9D7CB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7D62A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continue"/>
                  <w:vAlign w:val="center"/>
                </w:tcPr>
                <w:p w14:paraId="33AC6D5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23" w:type="dxa"/>
                  <w:vMerge w:val="continue"/>
                  <w:vAlign w:val="center"/>
                </w:tcPr>
                <w:p w14:paraId="060CDAC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10" w:type="dxa"/>
                  <w:shd w:val="clear" w:color="auto" w:fill="auto"/>
                  <w:vAlign w:val="center"/>
                </w:tcPr>
                <w:p w14:paraId="0F56F1A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2</w:t>
                  </w:r>
                </w:p>
              </w:tc>
              <w:tc>
                <w:tcPr>
                  <w:tcW w:w="2366" w:type="dxa"/>
                  <w:vAlign w:val="center"/>
                </w:tcPr>
                <w:p w14:paraId="30F0321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3C87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continue"/>
                  <w:vAlign w:val="center"/>
                </w:tcPr>
                <w:p w14:paraId="6BF8387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23" w:type="dxa"/>
                  <w:vMerge w:val="continue"/>
                  <w:vAlign w:val="center"/>
                </w:tcPr>
                <w:p w14:paraId="2261DED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10" w:type="dxa"/>
                  <w:shd w:val="clear" w:color="auto" w:fill="auto"/>
                  <w:vAlign w:val="center"/>
                </w:tcPr>
                <w:p w14:paraId="0A78756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3</w:t>
                  </w:r>
                </w:p>
              </w:tc>
              <w:tc>
                <w:tcPr>
                  <w:tcW w:w="2366" w:type="dxa"/>
                  <w:vAlign w:val="center"/>
                </w:tcPr>
                <w:p w14:paraId="364A1F9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221E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restart"/>
                  <w:vAlign w:val="center"/>
                </w:tcPr>
                <w:p w14:paraId="4268CA1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2026.03.07</w:t>
                  </w:r>
                </w:p>
              </w:tc>
              <w:tc>
                <w:tcPr>
                  <w:tcW w:w="1823" w:type="dxa"/>
                  <w:vMerge w:val="restart"/>
                  <w:vAlign w:val="center"/>
                </w:tcPr>
                <w:p w14:paraId="61CCB8F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工业场地</w:t>
                  </w:r>
                  <w:r>
                    <w:rPr>
                      <w:rFonts w:hint="eastAsia" w:ascii="Times New Roman" w:hAnsi="Times New Roman" w:cs="Times New Roman"/>
                      <w:color w:val="auto"/>
                      <w:sz w:val="21"/>
                      <w:szCs w:val="21"/>
                      <w:vertAlign w:val="baseline"/>
                      <w:lang w:val="en-US" w:eastAsia="zh-CN"/>
                    </w:rPr>
                    <w:t>3</w:t>
                  </w:r>
                  <w:r>
                    <w:rPr>
                      <w:rFonts w:hint="default" w:ascii="Times New Roman" w:hAnsi="Times New Roman" w:eastAsia="宋体" w:cs="Times New Roman"/>
                      <w:color w:val="auto"/>
                      <w:sz w:val="21"/>
                      <w:szCs w:val="21"/>
                      <w:vertAlign w:val="baseline"/>
                      <w:lang w:val="en-US" w:eastAsia="zh-CN"/>
                    </w:rPr>
                    <w:t>#20t/h燃气锅炉</w:t>
                  </w:r>
                </w:p>
              </w:tc>
              <w:tc>
                <w:tcPr>
                  <w:tcW w:w="1810" w:type="dxa"/>
                  <w:shd w:val="clear" w:color="auto" w:fill="auto"/>
                  <w:vAlign w:val="center"/>
                </w:tcPr>
                <w:p w14:paraId="38CE00A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1</w:t>
                  </w:r>
                </w:p>
              </w:tc>
              <w:tc>
                <w:tcPr>
                  <w:tcW w:w="2366" w:type="dxa"/>
                  <w:vAlign w:val="center"/>
                </w:tcPr>
                <w:p w14:paraId="3C96B95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67FA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continue"/>
                  <w:vAlign w:val="center"/>
                </w:tcPr>
                <w:p w14:paraId="54774C5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23" w:type="dxa"/>
                  <w:vMerge w:val="continue"/>
                  <w:vAlign w:val="center"/>
                </w:tcPr>
                <w:p w14:paraId="262572C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10" w:type="dxa"/>
                  <w:shd w:val="clear" w:color="auto" w:fill="auto"/>
                  <w:vAlign w:val="center"/>
                </w:tcPr>
                <w:p w14:paraId="4D5D70C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2</w:t>
                  </w:r>
                </w:p>
              </w:tc>
              <w:tc>
                <w:tcPr>
                  <w:tcW w:w="2366" w:type="dxa"/>
                  <w:vAlign w:val="center"/>
                </w:tcPr>
                <w:p w14:paraId="3AACE42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570F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continue"/>
                  <w:vAlign w:val="center"/>
                </w:tcPr>
                <w:p w14:paraId="320CDBB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23" w:type="dxa"/>
                  <w:vMerge w:val="continue"/>
                  <w:vAlign w:val="center"/>
                </w:tcPr>
                <w:p w14:paraId="645DF03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10" w:type="dxa"/>
                  <w:shd w:val="clear" w:color="auto" w:fill="auto"/>
                  <w:vAlign w:val="center"/>
                </w:tcPr>
                <w:p w14:paraId="5D7CD4A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3</w:t>
                  </w:r>
                </w:p>
              </w:tc>
              <w:tc>
                <w:tcPr>
                  <w:tcW w:w="2366" w:type="dxa"/>
                  <w:vAlign w:val="center"/>
                </w:tcPr>
                <w:p w14:paraId="4369D7D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7A2D1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restart"/>
                  <w:vAlign w:val="center"/>
                </w:tcPr>
                <w:p w14:paraId="577EB82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2026.03.05</w:t>
                  </w:r>
                </w:p>
              </w:tc>
              <w:tc>
                <w:tcPr>
                  <w:tcW w:w="1823" w:type="dxa"/>
                  <w:vMerge w:val="restart"/>
                  <w:vAlign w:val="center"/>
                </w:tcPr>
                <w:p w14:paraId="501D096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工业场地</w:t>
                  </w:r>
                  <w:r>
                    <w:rPr>
                      <w:rFonts w:hint="eastAsia" w:ascii="Times New Roman" w:hAnsi="Times New Roman" w:cs="Times New Roman"/>
                      <w:color w:val="auto"/>
                      <w:sz w:val="21"/>
                      <w:szCs w:val="21"/>
                      <w:vertAlign w:val="baseline"/>
                      <w:lang w:val="en-US" w:eastAsia="zh-CN"/>
                    </w:rPr>
                    <w:t>4</w:t>
                  </w:r>
                  <w:r>
                    <w:rPr>
                      <w:rFonts w:hint="default" w:ascii="Times New Roman" w:hAnsi="Times New Roman" w:eastAsia="宋体" w:cs="Times New Roman"/>
                      <w:color w:val="auto"/>
                      <w:sz w:val="21"/>
                      <w:szCs w:val="21"/>
                      <w:vertAlign w:val="baseline"/>
                      <w:lang w:val="en-US" w:eastAsia="zh-CN"/>
                    </w:rPr>
                    <w:t>#20t/h燃气锅炉</w:t>
                  </w:r>
                </w:p>
              </w:tc>
              <w:tc>
                <w:tcPr>
                  <w:tcW w:w="1810" w:type="dxa"/>
                  <w:shd w:val="clear" w:color="auto" w:fill="auto"/>
                  <w:vAlign w:val="center"/>
                </w:tcPr>
                <w:p w14:paraId="42F5438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1</w:t>
                  </w:r>
                </w:p>
              </w:tc>
              <w:tc>
                <w:tcPr>
                  <w:tcW w:w="2366" w:type="dxa"/>
                  <w:vAlign w:val="center"/>
                </w:tcPr>
                <w:p w14:paraId="762BCD8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28CE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999" w:type="dxa"/>
                  <w:vMerge w:val="continue"/>
                  <w:vAlign w:val="center"/>
                </w:tcPr>
                <w:p w14:paraId="27B5743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23" w:type="dxa"/>
                  <w:vMerge w:val="continue"/>
                  <w:vAlign w:val="center"/>
                </w:tcPr>
                <w:p w14:paraId="0BFD04A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10" w:type="dxa"/>
                  <w:shd w:val="clear" w:color="auto" w:fill="auto"/>
                  <w:vAlign w:val="center"/>
                </w:tcPr>
                <w:p w14:paraId="10D2630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2</w:t>
                  </w:r>
                </w:p>
              </w:tc>
              <w:tc>
                <w:tcPr>
                  <w:tcW w:w="2366" w:type="dxa"/>
                  <w:vAlign w:val="center"/>
                </w:tcPr>
                <w:p w14:paraId="22DEF72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r w14:paraId="4B7F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999" w:type="dxa"/>
                  <w:vMerge w:val="continue"/>
                  <w:vAlign w:val="center"/>
                </w:tcPr>
                <w:p w14:paraId="305FBF4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23" w:type="dxa"/>
                  <w:vMerge w:val="continue"/>
                  <w:vAlign w:val="center"/>
                </w:tcPr>
                <w:p w14:paraId="23F2431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p>
              </w:tc>
              <w:tc>
                <w:tcPr>
                  <w:tcW w:w="1810" w:type="dxa"/>
                  <w:shd w:val="clear" w:color="auto" w:fill="auto"/>
                  <w:vAlign w:val="center"/>
                </w:tcPr>
                <w:p w14:paraId="411F136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cs="Times New Roman"/>
                      <w:color w:val="auto"/>
                      <w:sz w:val="21"/>
                      <w:szCs w:val="21"/>
                      <w:vertAlign w:val="baseline"/>
                      <w:lang w:val="en-US" w:eastAsia="zh-CN"/>
                    </w:rPr>
                    <w:t>3</w:t>
                  </w:r>
                </w:p>
              </w:tc>
              <w:tc>
                <w:tcPr>
                  <w:tcW w:w="2366" w:type="dxa"/>
                  <w:vAlign w:val="center"/>
                </w:tcPr>
                <w:p w14:paraId="5D08C74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t>
                  </w:r>
                  <w:r>
                    <w:rPr>
                      <w:rFonts w:hint="eastAsia" w:ascii="Times New Roman" w:hAnsi="Times New Roman" w:cs="Times New Roman"/>
                      <w:color w:val="auto"/>
                      <w:sz w:val="21"/>
                      <w:szCs w:val="21"/>
                      <w:vertAlign w:val="baseline"/>
                      <w:lang w:val="en-US" w:eastAsia="zh-CN"/>
                    </w:rPr>
                    <w:t>1级</w:t>
                  </w:r>
                </w:p>
              </w:tc>
            </w:tr>
          </w:tbl>
          <w:p w14:paraId="04C7115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jc w:val="center"/>
              <w:textAlignment w:val="auto"/>
              <w:rPr>
                <w:rFonts w:hint="default" w:ascii="Times New Roman" w:hAnsi="Times New Roman" w:eastAsia="黑体" w:cs="Times New Roman"/>
                <w:color w:val="auto"/>
                <w:sz w:val="21"/>
                <w:szCs w:val="21"/>
                <w:lang w:val="en-US" w:eastAsia="zh-CN"/>
              </w:rPr>
            </w:pPr>
            <w:r>
              <w:rPr>
                <w:rFonts w:hint="default" w:ascii="Times New Roman" w:hAnsi="Times New Roman" w:eastAsia="黑体" w:cs="Times New Roman"/>
                <w:color w:val="auto"/>
                <w:sz w:val="21"/>
                <w:szCs w:val="21"/>
                <w:lang w:val="en-US" w:eastAsia="zh-CN"/>
              </w:rPr>
              <w:t>表</w:t>
            </w:r>
            <w:r>
              <w:rPr>
                <w:rFonts w:hint="eastAsia" w:eastAsia="黑体" w:cs="Times New Roman"/>
                <w:color w:val="auto"/>
                <w:sz w:val="21"/>
                <w:szCs w:val="21"/>
                <w:lang w:val="en-US" w:eastAsia="zh-CN"/>
              </w:rPr>
              <w:t>2.11-3</w:t>
            </w:r>
            <w:r>
              <w:rPr>
                <w:rFonts w:hint="default" w:ascii="Times New Roman" w:hAnsi="Times New Roman" w:eastAsia="黑体" w:cs="Times New Roman"/>
                <w:color w:val="auto"/>
                <w:sz w:val="21"/>
                <w:szCs w:val="21"/>
                <w:lang w:val="en-US" w:eastAsia="zh-CN"/>
              </w:rPr>
              <w:t xml:space="preserve">  </w:t>
            </w:r>
            <w:r>
              <w:rPr>
                <w:rFonts w:hint="eastAsia" w:ascii="Times New Roman" w:hAnsi="Times New Roman" w:eastAsia="黑体" w:cs="Times New Roman"/>
                <w:color w:val="auto"/>
                <w:sz w:val="21"/>
                <w:szCs w:val="21"/>
                <w:lang w:val="en-US" w:eastAsia="zh-CN"/>
              </w:rPr>
              <w:t>主井工业场地1#-4#锅炉废气氮氧化物在线</w:t>
            </w:r>
            <w:r>
              <w:rPr>
                <w:rFonts w:hint="default" w:ascii="Times New Roman" w:hAnsi="Times New Roman" w:eastAsia="黑体" w:cs="Times New Roman"/>
                <w:color w:val="auto"/>
                <w:sz w:val="21"/>
                <w:szCs w:val="21"/>
                <w:lang w:val="en-US" w:eastAsia="zh-CN"/>
              </w:rPr>
              <w:t>监测结果</w:t>
            </w:r>
          </w:p>
          <w:tbl>
            <w:tblPr>
              <w:tblStyle w:val="25"/>
              <w:tblW w:w="8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25"/>
              <w:gridCol w:w="3388"/>
              <w:gridCol w:w="2005"/>
            </w:tblGrid>
            <w:tr w14:paraId="3B7A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625" w:type="dxa"/>
                  <w:vAlign w:val="center"/>
                </w:tcPr>
                <w:p w14:paraId="4752EBE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监测点位</w:t>
                  </w:r>
                </w:p>
              </w:tc>
              <w:tc>
                <w:tcPr>
                  <w:tcW w:w="3388" w:type="dxa"/>
                  <w:vAlign w:val="center"/>
                </w:tcPr>
                <w:p w14:paraId="65C91CE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氮氧化物折算浓度</w:t>
                  </w:r>
                  <w:r>
                    <w:rPr>
                      <w:rFonts w:hint="eastAsia" w:cs="Times New Roman"/>
                      <w:color w:val="auto"/>
                      <w:sz w:val="21"/>
                      <w:szCs w:val="21"/>
                      <w:vertAlign w:val="baseline"/>
                      <w:lang w:val="en-US" w:eastAsia="zh-CN"/>
                    </w:rPr>
                    <w:t>范围</w:t>
                  </w:r>
                  <w:r>
                    <w:rPr>
                      <w:rFonts w:hint="eastAsia" w:ascii="Times New Roman" w:hAnsi="Times New Roman" w:cs="Times New Roman"/>
                      <w:color w:val="auto"/>
                      <w:sz w:val="21"/>
                      <w:szCs w:val="21"/>
                      <w:vertAlign w:val="baseline"/>
                      <w:lang w:val="en-US" w:eastAsia="zh-CN"/>
                    </w:rPr>
                    <w:t>mg/Nm</w:t>
                  </w:r>
                  <w:r>
                    <w:rPr>
                      <w:rFonts w:hint="eastAsia" w:ascii="Times New Roman" w:hAnsi="Times New Roman" w:cs="Times New Roman"/>
                      <w:color w:val="auto"/>
                      <w:sz w:val="21"/>
                      <w:szCs w:val="21"/>
                      <w:vertAlign w:val="superscript"/>
                      <w:lang w:val="en-US" w:eastAsia="zh-CN"/>
                    </w:rPr>
                    <w:t>3</w:t>
                  </w:r>
                </w:p>
              </w:tc>
              <w:tc>
                <w:tcPr>
                  <w:tcW w:w="2005" w:type="dxa"/>
                  <w:vAlign w:val="center"/>
                </w:tcPr>
                <w:p w14:paraId="4666E6E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vertAlign w:val="baseline"/>
                      <w:lang w:val="en-US" w:eastAsia="zh-CN"/>
                    </w:rPr>
                  </w:pPr>
                  <w:r>
                    <w:rPr>
                      <w:rFonts w:hint="eastAsia" w:cs="Times New Roman"/>
                      <w:color w:val="auto"/>
                      <w:sz w:val="21"/>
                      <w:szCs w:val="21"/>
                      <w:vertAlign w:val="baseline"/>
                      <w:lang w:val="en-US" w:eastAsia="zh-CN"/>
                    </w:rPr>
                    <w:t>氮氧化物排放量t/a</w:t>
                  </w:r>
                </w:p>
              </w:tc>
            </w:tr>
            <w:tr w14:paraId="5982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625" w:type="dxa"/>
                  <w:vAlign w:val="center"/>
                </w:tcPr>
                <w:p w14:paraId="4004F67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工业场地1#20t/h燃气锅炉</w:t>
                  </w:r>
                </w:p>
              </w:tc>
              <w:tc>
                <w:tcPr>
                  <w:tcW w:w="3388" w:type="dxa"/>
                  <w:vAlign w:val="center"/>
                </w:tcPr>
                <w:p w14:paraId="0554522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cs="Times New Roman"/>
                      <w:color w:val="auto"/>
                      <w:kern w:val="2"/>
                      <w:sz w:val="21"/>
                      <w:szCs w:val="21"/>
                      <w:vertAlign w:val="baseline"/>
                      <w:lang w:val="en-US" w:eastAsia="zh-CN" w:bidi="ar-SA"/>
                    </w:rPr>
                    <w:t>19.834-49.507</w:t>
                  </w:r>
                </w:p>
              </w:tc>
              <w:tc>
                <w:tcPr>
                  <w:tcW w:w="2005" w:type="dxa"/>
                  <w:vAlign w:val="center"/>
                </w:tcPr>
                <w:p w14:paraId="196C513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0.410</w:t>
                  </w:r>
                </w:p>
              </w:tc>
            </w:tr>
            <w:tr w14:paraId="71B57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625" w:type="dxa"/>
                  <w:vAlign w:val="center"/>
                </w:tcPr>
                <w:p w14:paraId="59F8636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工业场地</w:t>
                  </w:r>
                  <w:r>
                    <w:rPr>
                      <w:rFonts w:hint="eastAsia" w:ascii="Times New Roman" w:hAnsi="Times New Roman" w:cs="Times New Roman"/>
                      <w:color w:val="auto"/>
                      <w:sz w:val="21"/>
                      <w:szCs w:val="21"/>
                      <w:vertAlign w:val="baseline"/>
                      <w:lang w:val="en-US" w:eastAsia="zh-CN"/>
                    </w:rPr>
                    <w:t>2</w:t>
                  </w:r>
                  <w:r>
                    <w:rPr>
                      <w:rFonts w:hint="default" w:ascii="Times New Roman" w:hAnsi="Times New Roman" w:eastAsia="宋体" w:cs="Times New Roman"/>
                      <w:color w:val="auto"/>
                      <w:sz w:val="21"/>
                      <w:szCs w:val="21"/>
                      <w:vertAlign w:val="baseline"/>
                      <w:lang w:val="en-US" w:eastAsia="zh-CN"/>
                    </w:rPr>
                    <w:t>#20t/h燃气锅炉</w:t>
                  </w:r>
                </w:p>
              </w:tc>
              <w:tc>
                <w:tcPr>
                  <w:tcW w:w="3388" w:type="dxa"/>
                  <w:vAlign w:val="center"/>
                </w:tcPr>
                <w:p w14:paraId="3ECF585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cs="Times New Roman"/>
                      <w:color w:val="auto"/>
                      <w:kern w:val="2"/>
                      <w:sz w:val="21"/>
                      <w:szCs w:val="21"/>
                      <w:vertAlign w:val="baseline"/>
                      <w:lang w:val="en-US" w:eastAsia="zh-CN" w:bidi="ar-SA"/>
                    </w:rPr>
                    <w:t>5.457-23.46</w:t>
                  </w:r>
                </w:p>
              </w:tc>
              <w:tc>
                <w:tcPr>
                  <w:tcW w:w="2005" w:type="dxa"/>
                  <w:vAlign w:val="center"/>
                </w:tcPr>
                <w:p w14:paraId="414071F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cs="Times New Roman"/>
                      <w:color w:val="auto"/>
                      <w:kern w:val="2"/>
                      <w:sz w:val="21"/>
                      <w:szCs w:val="21"/>
                      <w:vertAlign w:val="baseline"/>
                      <w:lang w:val="en-US" w:eastAsia="zh-CN" w:bidi="ar-SA"/>
                    </w:rPr>
                  </w:pPr>
                  <w:r>
                    <w:rPr>
                      <w:rFonts w:hint="eastAsia" w:cs="Times New Roman"/>
                      <w:color w:val="auto"/>
                      <w:kern w:val="2"/>
                      <w:sz w:val="21"/>
                      <w:szCs w:val="21"/>
                      <w:vertAlign w:val="baseline"/>
                      <w:lang w:val="en-US" w:eastAsia="zh-CN" w:bidi="ar-SA"/>
                    </w:rPr>
                    <w:t>0.445</w:t>
                  </w:r>
                </w:p>
              </w:tc>
            </w:tr>
            <w:tr w14:paraId="027A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625" w:type="dxa"/>
                  <w:vAlign w:val="center"/>
                </w:tcPr>
                <w:p w14:paraId="611D250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工业场地</w:t>
                  </w:r>
                  <w:r>
                    <w:rPr>
                      <w:rFonts w:hint="eastAsia" w:ascii="Times New Roman" w:hAnsi="Times New Roman" w:cs="Times New Roman"/>
                      <w:color w:val="auto"/>
                      <w:sz w:val="21"/>
                      <w:szCs w:val="21"/>
                      <w:vertAlign w:val="baseline"/>
                      <w:lang w:val="en-US" w:eastAsia="zh-CN"/>
                    </w:rPr>
                    <w:t>3</w:t>
                  </w:r>
                  <w:r>
                    <w:rPr>
                      <w:rFonts w:hint="default" w:ascii="Times New Roman" w:hAnsi="Times New Roman" w:eastAsia="宋体" w:cs="Times New Roman"/>
                      <w:color w:val="auto"/>
                      <w:sz w:val="21"/>
                      <w:szCs w:val="21"/>
                      <w:vertAlign w:val="baseline"/>
                      <w:lang w:val="en-US" w:eastAsia="zh-CN"/>
                    </w:rPr>
                    <w:t>#20t/h燃气锅炉</w:t>
                  </w:r>
                </w:p>
              </w:tc>
              <w:tc>
                <w:tcPr>
                  <w:tcW w:w="3388" w:type="dxa"/>
                  <w:vAlign w:val="center"/>
                </w:tcPr>
                <w:p w14:paraId="38788C2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13.353-21.414</w:t>
                  </w:r>
                </w:p>
              </w:tc>
              <w:tc>
                <w:tcPr>
                  <w:tcW w:w="2005" w:type="dxa"/>
                  <w:vAlign w:val="center"/>
                </w:tcPr>
                <w:p w14:paraId="11C29A1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0.618</w:t>
                  </w:r>
                </w:p>
              </w:tc>
            </w:tr>
            <w:tr w14:paraId="709A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625" w:type="dxa"/>
                  <w:vAlign w:val="center"/>
                </w:tcPr>
                <w:p w14:paraId="0517101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工业场地</w:t>
                  </w:r>
                  <w:r>
                    <w:rPr>
                      <w:rFonts w:hint="eastAsia" w:ascii="Times New Roman" w:hAnsi="Times New Roman" w:cs="Times New Roman"/>
                      <w:color w:val="auto"/>
                      <w:sz w:val="21"/>
                      <w:szCs w:val="21"/>
                      <w:vertAlign w:val="baseline"/>
                      <w:lang w:val="en-US" w:eastAsia="zh-CN"/>
                    </w:rPr>
                    <w:t>4</w:t>
                  </w:r>
                  <w:r>
                    <w:rPr>
                      <w:rFonts w:hint="default" w:ascii="Times New Roman" w:hAnsi="Times New Roman" w:eastAsia="宋体" w:cs="Times New Roman"/>
                      <w:color w:val="auto"/>
                      <w:sz w:val="21"/>
                      <w:szCs w:val="21"/>
                      <w:vertAlign w:val="baseline"/>
                      <w:lang w:val="en-US" w:eastAsia="zh-CN"/>
                    </w:rPr>
                    <w:t>#20t/h燃气锅炉</w:t>
                  </w:r>
                </w:p>
              </w:tc>
              <w:tc>
                <w:tcPr>
                  <w:tcW w:w="3388" w:type="dxa"/>
                  <w:vAlign w:val="center"/>
                </w:tcPr>
                <w:p w14:paraId="4481D62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highlight w:val="none"/>
                      <w:vertAlign w:val="baseline"/>
                      <w:lang w:val="en-US" w:eastAsia="zh-CN"/>
                    </w:rPr>
                    <w:t>14.397-24.331</w:t>
                  </w:r>
                </w:p>
              </w:tc>
              <w:tc>
                <w:tcPr>
                  <w:tcW w:w="2005" w:type="dxa"/>
                  <w:vAlign w:val="center"/>
                </w:tcPr>
                <w:p w14:paraId="16C05BA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vertAlign w:val="baseline"/>
                      <w:lang w:val="en-US" w:eastAsia="zh-CN"/>
                    </w:rPr>
                  </w:pPr>
                  <w:r>
                    <w:rPr>
                      <w:rFonts w:hint="eastAsia" w:cs="Times New Roman"/>
                      <w:color w:val="auto"/>
                      <w:sz w:val="21"/>
                      <w:szCs w:val="21"/>
                      <w:vertAlign w:val="baseline"/>
                      <w:lang w:val="en-US" w:eastAsia="zh-CN"/>
                    </w:rPr>
                    <w:t>0.459</w:t>
                  </w:r>
                </w:p>
              </w:tc>
            </w:tr>
          </w:tbl>
          <w:p w14:paraId="00ECFA5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由以上监测结果可知，工业场地1#-4#锅炉废气颗粒物、二氧化硫、氮氧化物、烟气黑度监测结果均满足《锅炉大气污染物排放标准》DB14/1929-2019中标准限值要求。</w:t>
            </w:r>
          </w:p>
          <w:p w14:paraId="1898AFC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cs="Times New Roman"/>
                <w:bCs/>
                <w:color w:val="auto"/>
                <w:spacing w:val="0"/>
                <w:sz w:val="24"/>
                <w:szCs w:val="24"/>
                <w:highlight w:val="none"/>
                <w:lang w:val="en-US" w:eastAsia="zh-CN"/>
              </w:rPr>
            </w:pPr>
            <w:r>
              <w:rPr>
                <w:rFonts w:hint="eastAsia" w:cs="Times New Roman"/>
                <w:bCs/>
                <w:color w:val="auto"/>
                <w:spacing w:val="0"/>
                <w:sz w:val="24"/>
                <w:szCs w:val="24"/>
                <w:highlight w:val="none"/>
                <w:lang w:val="en-US" w:eastAsia="zh-CN"/>
              </w:rPr>
              <w:t>（2）无组织</w:t>
            </w:r>
          </w:p>
          <w:p w14:paraId="74673AF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本次评价无组织废气监测结果引用202</w:t>
            </w:r>
            <w:r>
              <w:rPr>
                <w:rFonts w:hint="eastAsia" w:cs="Times New Roman"/>
                <w:bCs/>
                <w:color w:val="auto"/>
                <w:spacing w:val="0"/>
                <w:sz w:val="24"/>
                <w:szCs w:val="24"/>
                <w:highlight w:val="none"/>
                <w:lang w:val="en-US" w:eastAsia="zh-CN"/>
              </w:rPr>
              <w:t>6</w:t>
            </w:r>
            <w:r>
              <w:rPr>
                <w:rFonts w:hint="eastAsia" w:ascii="Times New Roman" w:hAnsi="Times New Roman" w:eastAsia="宋体" w:cs="Times New Roman"/>
                <w:bCs/>
                <w:color w:val="auto"/>
                <w:spacing w:val="0"/>
                <w:sz w:val="24"/>
                <w:szCs w:val="24"/>
                <w:highlight w:val="none"/>
                <w:lang w:val="en-US" w:eastAsia="zh-CN"/>
              </w:rPr>
              <w:t>年</w:t>
            </w:r>
            <w:r>
              <w:rPr>
                <w:rFonts w:hint="eastAsia" w:cs="Times New Roman"/>
                <w:bCs/>
                <w:color w:val="auto"/>
                <w:spacing w:val="0"/>
                <w:sz w:val="24"/>
                <w:szCs w:val="24"/>
                <w:highlight w:val="none"/>
                <w:lang w:val="en-US" w:eastAsia="zh-CN"/>
              </w:rPr>
              <w:t>2</w:t>
            </w:r>
            <w:r>
              <w:rPr>
                <w:rFonts w:hint="eastAsia" w:ascii="Times New Roman" w:hAnsi="Times New Roman" w:eastAsia="宋体" w:cs="Times New Roman"/>
                <w:bCs/>
                <w:color w:val="auto"/>
                <w:spacing w:val="0"/>
                <w:sz w:val="24"/>
                <w:szCs w:val="24"/>
                <w:highlight w:val="none"/>
                <w:lang w:val="en-US" w:eastAsia="zh-CN"/>
              </w:rPr>
              <w:t>月</w:t>
            </w:r>
            <w:r>
              <w:rPr>
                <w:rFonts w:hint="eastAsia" w:cs="Times New Roman"/>
                <w:bCs/>
                <w:color w:val="auto"/>
                <w:spacing w:val="0"/>
                <w:sz w:val="24"/>
                <w:szCs w:val="24"/>
                <w:highlight w:val="none"/>
                <w:lang w:val="en-US" w:eastAsia="zh-CN"/>
              </w:rPr>
              <w:t>10</w:t>
            </w:r>
            <w:r>
              <w:rPr>
                <w:rFonts w:hint="eastAsia" w:ascii="Times New Roman" w:hAnsi="Times New Roman" w:eastAsia="宋体" w:cs="Times New Roman"/>
                <w:bCs/>
                <w:color w:val="auto"/>
                <w:spacing w:val="0"/>
                <w:sz w:val="24"/>
                <w:szCs w:val="24"/>
                <w:highlight w:val="none"/>
                <w:lang w:val="en-US" w:eastAsia="zh-CN"/>
              </w:rPr>
              <w:t>日</w:t>
            </w:r>
            <w:r>
              <w:rPr>
                <w:rFonts w:hint="default" w:ascii="Times New Roman" w:hAnsi="Times New Roman" w:eastAsia="宋体" w:cs="Times New Roman"/>
                <w:bCs/>
                <w:color w:val="auto"/>
                <w:spacing w:val="0"/>
                <w:sz w:val="24"/>
                <w:szCs w:val="24"/>
                <w:highlight w:val="none"/>
                <w:lang w:val="en-US" w:eastAsia="zh-CN"/>
              </w:rPr>
              <w:t>由山西</w:t>
            </w:r>
            <w:r>
              <w:rPr>
                <w:rFonts w:hint="eastAsia" w:ascii="Times New Roman" w:hAnsi="Times New Roman" w:eastAsia="宋体" w:cs="Times New Roman"/>
                <w:bCs/>
                <w:color w:val="auto"/>
                <w:spacing w:val="0"/>
                <w:sz w:val="24"/>
                <w:szCs w:val="24"/>
                <w:highlight w:val="none"/>
                <w:lang w:val="en-US" w:eastAsia="zh-CN"/>
              </w:rPr>
              <w:t>华益检测科技</w:t>
            </w:r>
            <w:r>
              <w:rPr>
                <w:rFonts w:hint="default" w:ascii="Times New Roman" w:hAnsi="Times New Roman" w:eastAsia="宋体" w:cs="Times New Roman"/>
                <w:bCs/>
                <w:color w:val="auto"/>
                <w:spacing w:val="0"/>
                <w:sz w:val="24"/>
                <w:szCs w:val="24"/>
                <w:highlight w:val="none"/>
                <w:lang w:val="en-US" w:eastAsia="zh-CN"/>
              </w:rPr>
              <w:t>有限公司出具的《</w:t>
            </w:r>
            <w:r>
              <w:rPr>
                <w:rFonts w:hint="eastAsia" w:ascii="Times New Roman" w:hAnsi="Times New Roman" w:eastAsia="宋体" w:cs="Times New Roman"/>
                <w:bCs/>
                <w:color w:val="auto"/>
                <w:spacing w:val="0"/>
                <w:sz w:val="24"/>
                <w:szCs w:val="24"/>
                <w:highlight w:val="none"/>
                <w:lang w:val="en-US" w:eastAsia="zh-CN"/>
              </w:rPr>
              <w:t>山西晋煤集团赵庄煤业有限责任公司自行监测（第</w:t>
            </w:r>
            <w:r>
              <w:rPr>
                <w:rFonts w:hint="eastAsia" w:cs="Times New Roman"/>
                <w:bCs/>
                <w:color w:val="auto"/>
                <w:spacing w:val="0"/>
                <w:sz w:val="24"/>
                <w:szCs w:val="24"/>
                <w:highlight w:val="none"/>
                <w:lang w:val="en-US" w:eastAsia="zh-CN"/>
              </w:rPr>
              <w:t>一</w:t>
            </w:r>
            <w:r>
              <w:rPr>
                <w:rFonts w:hint="eastAsia" w:ascii="Times New Roman" w:hAnsi="Times New Roman" w:eastAsia="宋体" w:cs="Times New Roman"/>
                <w:bCs/>
                <w:color w:val="auto"/>
                <w:spacing w:val="0"/>
                <w:sz w:val="24"/>
                <w:szCs w:val="24"/>
                <w:highlight w:val="none"/>
                <w:lang w:val="en-US" w:eastAsia="zh-CN"/>
              </w:rPr>
              <w:t>季度无组织+噪声）</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SXHYJC-2</w:t>
            </w:r>
            <w:r>
              <w:rPr>
                <w:rFonts w:hint="eastAsia" w:cs="Times New Roman"/>
                <w:bCs/>
                <w:color w:val="auto"/>
                <w:spacing w:val="0"/>
                <w:sz w:val="24"/>
                <w:szCs w:val="24"/>
                <w:highlight w:val="none"/>
                <w:lang w:val="en-US" w:eastAsia="zh-CN"/>
              </w:rPr>
              <w:t>6</w:t>
            </w:r>
            <w:r>
              <w:rPr>
                <w:rFonts w:hint="eastAsia" w:ascii="Times New Roman" w:hAnsi="Times New Roman" w:eastAsia="宋体" w:cs="Times New Roman"/>
                <w:bCs/>
                <w:color w:val="auto"/>
                <w:spacing w:val="0"/>
                <w:sz w:val="24"/>
                <w:szCs w:val="24"/>
                <w:highlight w:val="none"/>
                <w:lang w:val="en-US" w:eastAsia="zh-CN"/>
              </w:rPr>
              <w:t>0</w:t>
            </w:r>
            <w:r>
              <w:rPr>
                <w:rFonts w:hint="eastAsia" w:cs="Times New Roman"/>
                <w:bCs/>
                <w:color w:val="auto"/>
                <w:spacing w:val="0"/>
                <w:sz w:val="24"/>
                <w:szCs w:val="24"/>
                <w:highlight w:val="none"/>
                <w:lang w:val="en-US" w:eastAsia="zh-CN"/>
              </w:rPr>
              <w:t>1</w:t>
            </w:r>
            <w:r>
              <w:rPr>
                <w:rFonts w:hint="eastAsia"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053</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中的数据。</w:t>
            </w:r>
          </w:p>
          <w:p w14:paraId="220A11C5">
            <w:pPr>
              <w:pStyle w:val="9"/>
              <w:keepNext w:val="0"/>
              <w:keepLines w:val="0"/>
              <w:pageBreakBefore w:val="0"/>
              <w:widowControl/>
              <w:kinsoku/>
              <w:wordWrap/>
              <w:overflowPunct/>
              <w:topLinePunct w:val="0"/>
              <w:autoSpaceDE/>
              <w:autoSpaceDN/>
              <w:bidi w:val="0"/>
              <w:adjustRightInd w:val="0"/>
              <w:snapToGrid w:val="0"/>
              <w:spacing w:before="0" w:after="0" w:line="480" w:lineRule="exact"/>
              <w:ind w:right="113"/>
              <w:jc w:val="center"/>
              <w:textAlignment w:val="auto"/>
              <w:rPr>
                <w:rFonts w:hint="default" w:ascii="Times New Roman" w:hAnsi="Times New Roman" w:eastAsia="黑体" w:cs="Times New Roman"/>
                <w:color w:val="auto"/>
                <w:sz w:val="21"/>
                <w:szCs w:val="21"/>
                <w:lang w:val="en-US" w:eastAsia="zh-CN"/>
              </w:rPr>
            </w:pPr>
            <w:r>
              <w:rPr>
                <w:rFonts w:hint="eastAsia" w:eastAsia="黑体" w:cs="Times New Roman"/>
                <w:color w:val="auto"/>
                <w:sz w:val="21"/>
                <w:szCs w:val="21"/>
                <w:lang w:val="en-US" w:eastAsia="zh-CN"/>
              </w:rPr>
              <w:t xml:space="preserve">         </w:t>
            </w:r>
            <w:r>
              <w:rPr>
                <w:rFonts w:hint="default" w:ascii="Times New Roman" w:hAnsi="Times New Roman" w:eastAsia="黑体" w:cs="Times New Roman"/>
                <w:color w:val="auto"/>
                <w:sz w:val="21"/>
                <w:szCs w:val="21"/>
                <w:lang w:val="en-US" w:eastAsia="zh-CN"/>
              </w:rPr>
              <w:t>表</w:t>
            </w:r>
            <w:r>
              <w:rPr>
                <w:rFonts w:hint="eastAsia" w:eastAsia="黑体" w:cs="Times New Roman"/>
                <w:color w:val="auto"/>
                <w:sz w:val="21"/>
                <w:szCs w:val="21"/>
                <w:lang w:val="en-US" w:eastAsia="zh-CN"/>
              </w:rPr>
              <w:t>2.11-4</w:t>
            </w:r>
            <w:r>
              <w:rPr>
                <w:rFonts w:hint="default" w:ascii="Times New Roman" w:hAnsi="Times New Roman" w:eastAsia="黑体" w:cs="Times New Roman"/>
                <w:color w:val="auto"/>
                <w:sz w:val="21"/>
                <w:szCs w:val="21"/>
                <w:lang w:val="en-US" w:eastAsia="zh-CN"/>
              </w:rPr>
              <w:t xml:space="preserve">  </w:t>
            </w:r>
            <w:r>
              <w:rPr>
                <w:rFonts w:hint="eastAsia" w:ascii="Times New Roman" w:hAnsi="Times New Roman" w:eastAsia="黑体" w:cs="Times New Roman"/>
                <w:color w:val="auto"/>
                <w:sz w:val="21"/>
                <w:szCs w:val="21"/>
                <w:lang w:val="en-US" w:eastAsia="zh-CN"/>
              </w:rPr>
              <w:t>主井工业场地厂界</w:t>
            </w:r>
            <w:r>
              <w:rPr>
                <w:rFonts w:hint="default" w:ascii="Times New Roman" w:hAnsi="Times New Roman" w:eastAsia="黑体" w:cs="Times New Roman"/>
                <w:color w:val="auto"/>
                <w:sz w:val="21"/>
                <w:szCs w:val="21"/>
                <w:lang w:val="en-US" w:eastAsia="zh-CN"/>
              </w:rPr>
              <w:t>无组织</w:t>
            </w:r>
            <w:r>
              <w:rPr>
                <w:rFonts w:hint="eastAsia" w:eastAsia="黑体" w:cs="Times New Roman"/>
                <w:color w:val="auto"/>
                <w:sz w:val="21"/>
                <w:szCs w:val="21"/>
                <w:lang w:val="en-US" w:eastAsia="zh-CN"/>
              </w:rPr>
              <w:t>废气</w:t>
            </w:r>
            <w:r>
              <w:rPr>
                <w:rFonts w:hint="default" w:ascii="Times New Roman" w:hAnsi="Times New Roman" w:eastAsia="黑体" w:cs="Times New Roman"/>
                <w:color w:val="auto"/>
                <w:sz w:val="21"/>
                <w:szCs w:val="21"/>
                <w:lang w:val="en-US" w:eastAsia="zh-CN"/>
              </w:rPr>
              <w:t>监测结果</w:t>
            </w:r>
            <w:r>
              <w:rPr>
                <w:rFonts w:hint="eastAsia" w:ascii="Times New Roman" w:hAnsi="Times New Roman" w:eastAsia="黑体" w:cs="Times New Roman"/>
                <w:color w:val="auto"/>
                <w:sz w:val="21"/>
                <w:szCs w:val="21"/>
                <w:lang w:val="en-US" w:eastAsia="zh-CN"/>
              </w:rPr>
              <w:t xml:space="preserve">     单位：mg/m</w:t>
            </w:r>
            <w:r>
              <w:rPr>
                <w:rFonts w:hint="eastAsia" w:ascii="Times New Roman" w:hAnsi="Times New Roman" w:eastAsia="黑体" w:cs="Times New Roman"/>
                <w:color w:val="auto"/>
                <w:sz w:val="21"/>
                <w:szCs w:val="21"/>
                <w:vertAlign w:val="superscript"/>
                <w:lang w:val="en-US" w:eastAsia="zh-CN"/>
              </w:rPr>
              <w:t>3</w:t>
            </w:r>
          </w:p>
          <w:tbl>
            <w:tblPr>
              <w:tblStyle w:val="25"/>
              <w:tblW w:w="4996" w:type="pct"/>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770"/>
              <w:gridCol w:w="1192"/>
              <w:gridCol w:w="1246"/>
              <w:gridCol w:w="1246"/>
              <w:gridCol w:w="1235"/>
              <w:gridCol w:w="1259"/>
            </w:tblGrid>
            <w:tr w14:paraId="4D37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133" w:type="pct"/>
                  <w:gridSpan w:val="2"/>
                  <w:vMerge w:val="restart"/>
                  <w:tcBorders>
                    <w:tl2br w:val="nil"/>
                    <w:tr2bl w:val="nil"/>
                  </w:tcBorders>
                  <w:noWrap w:val="0"/>
                  <w:vAlign w:val="center"/>
                </w:tcPr>
                <w:p w14:paraId="5EB5344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监测日期及</w:t>
                  </w:r>
                  <w:r>
                    <w:rPr>
                      <w:rFonts w:hint="eastAsia" w:cs="Times New Roman"/>
                      <w:b w:val="0"/>
                      <w:bCs/>
                      <w:color w:val="auto"/>
                      <w:kern w:val="2"/>
                      <w:sz w:val="21"/>
                      <w:szCs w:val="21"/>
                      <w:highlight w:val="none"/>
                      <w:vertAlign w:val="baseline"/>
                      <w:lang w:val="en-US" w:eastAsia="zh-CN" w:bidi="ar-SA"/>
                    </w:rPr>
                    <w:t>点位</w:t>
                  </w:r>
                </w:p>
              </w:tc>
              <w:tc>
                <w:tcPr>
                  <w:tcW w:w="746" w:type="pct"/>
                  <w:vMerge w:val="restart"/>
                  <w:tcBorders>
                    <w:tl2br w:val="nil"/>
                    <w:tr2bl w:val="nil"/>
                  </w:tcBorders>
                  <w:noWrap w:val="0"/>
                  <w:vAlign w:val="center"/>
                </w:tcPr>
                <w:p w14:paraId="6425CF9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监测频次</w:t>
                  </w:r>
                </w:p>
              </w:tc>
              <w:tc>
                <w:tcPr>
                  <w:tcW w:w="1560" w:type="pct"/>
                  <w:gridSpan w:val="2"/>
                  <w:tcBorders>
                    <w:tl2br w:val="nil"/>
                    <w:tr2bl w:val="nil"/>
                  </w:tcBorders>
                  <w:noWrap w:val="0"/>
                  <w:vAlign w:val="center"/>
                </w:tcPr>
                <w:p w14:paraId="31C6414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颗粒物</w:t>
                  </w:r>
                </w:p>
              </w:tc>
              <w:tc>
                <w:tcPr>
                  <w:tcW w:w="1560" w:type="pct"/>
                  <w:gridSpan w:val="2"/>
                  <w:tcBorders>
                    <w:tl2br w:val="nil"/>
                    <w:tr2bl w:val="nil"/>
                  </w:tcBorders>
                  <w:noWrap w:val="0"/>
                  <w:vAlign w:val="center"/>
                </w:tcPr>
                <w:p w14:paraId="618D12F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二氧化硫</w:t>
                  </w:r>
                </w:p>
              </w:tc>
            </w:tr>
            <w:tr w14:paraId="3A67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1133" w:type="pct"/>
                  <w:gridSpan w:val="2"/>
                  <w:vMerge w:val="continue"/>
                  <w:tcBorders>
                    <w:tl2br w:val="nil"/>
                    <w:tr2bl w:val="nil"/>
                  </w:tcBorders>
                  <w:noWrap w:val="0"/>
                  <w:vAlign w:val="center"/>
                </w:tcPr>
                <w:p w14:paraId="6C5AD0C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color w:val="auto"/>
                    </w:rPr>
                  </w:pPr>
                </w:p>
              </w:tc>
              <w:tc>
                <w:tcPr>
                  <w:tcW w:w="746" w:type="pct"/>
                  <w:vMerge w:val="continue"/>
                  <w:tcBorders>
                    <w:tl2br w:val="nil"/>
                    <w:tr2bl w:val="nil"/>
                  </w:tcBorders>
                  <w:noWrap w:val="0"/>
                  <w:vAlign w:val="center"/>
                </w:tcPr>
                <w:p w14:paraId="780ABE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color w:val="auto"/>
                    </w:rPr>
                  </w:pPr>
                </w:p>
              </w:tc>
              <w:tc>
                <w:tcPr>
                  <w:tcW w:w="780" w:type="pct"/>
                  <w:tcBorders>
                    <w:tl2br w:val="nil"/>
                    <w:tr2bl w:val="nil"/>
                  </w:tcBorders>
                  <w:noWrap w:val="0"/>
                  <w:vAlign w:val="center"/>
                </w:tcPr>
                <w:p w14:paraId="0ADBA51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原始数据</w:t>
                  </w:r>
                </w:p>
              </w:tc>
              <w:tc>
                <w:tcPr>
                  <w:tcW w:w="780" w:type="pct"/>
                  <w:tcBorders>
                    <w:tl2br w:val="nil"/>
                    <w:tr2bl w:val="nil"/>
                  </w:tcBorders>
                  <w:noWrap w:val="0"/>
                  <w:vAlign w:val="center"/>
                </w:tcPr>
                <w:p w14:paraId="61EB27D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扣除参照点的数据</w:t>
                  </w:r>
                </w:p>
              </w:tc>
              <w:tc>
                <w:tcPr>
                  <w:tcW w:w="773" w:type="pct"/>
                  <w:tcBorders>
                    <w:tl2br w:val="nil"/>
                    <w:tr2bl w:val="nil"/>
                  </w:tcBorders>
                  <w:shd w:val="clear" w:color="auto" w:fill="auto"/>
                  <w:noWrap w:val="0"/>
                  <w:vAlign w:val="center"/>
                </w:tcPr>
                <w:p w14:paraId="34FEA75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原始数据</w:t>
                  </w:r>
                </w:p>
              </w:tc>
              <w:tc>
                <w:tcPr>
                  <w:tcW w:w="786" w:type="pct"/>
                  <w:tcBorders>
                    <w:tl2br w:val="nil"/>
                    <w:tr2bl w:val="nil"/>
                  </w:tcBorders>
                  <w:shd w:val="clear" w:color="auto" w:fill="auto"/>
                  <w:noWrap w:val="0"/>
                  <w:vAlign w:val="center"/>
                </w:tcPr>
                <w:p w14:paraId="2DD8DE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扣除参照点的数据</w:t>
                  </w:r>
                </w:p>
              </w:tc>
            </w:tr>
            <w:tr w14:paraId="10AF1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restart"/>
                  <w:tcBorders>
                    <w:tl2br w:val="nil"/>
                    <w:tr2bl w:val="nil"/>
                  </w:tcBorders>
                  <w:noWrap w:val="0"/>
                  <w:vAlign w:val="center"/>
                </w:tcPr>
                <w:p w14:paraId="1F23E37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2026.01.18</w:t>
                  </w:r>
                </w:p>
              </w:tc>
              <w:tc>
                <w:tcPr>
                  <w:tcW w:w="481" w:type="pct"/>
                  <w:vMerge w:val="restart"/>
                  <w:tcBorders>
                    <w:tl2br w:val="nil"/>
                    <w:tr2bl w:val="nil"/>
                  </w:tcBorders>
                  <w:noWrap w:val="0"/>
                  <w:vAlign w:val="center"/>
                </w:tcPr>
                <w:p w14:paraId="0F9CB15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1</w:t>
                  </w:r>
                  <w:r>
                    <w:rPr>
                      <w:rFonts w:hint="eastAsia" w:cs="Times New Roman"/>
                      <w:b w:val="0"/>
                      <w:bCs/>
                      <w:color w:val="auto"/>
                      <w:kern w:val="2"/>
                      <w:sz w:val="21"/>
                      <w:szCs w:val="21"/>
                      <w:highlight w:val="none"/>
                      <w:vertAlign w:val="baseline"/>
                      <w:lang w:val="en-US" w:eastAsia="zh-CN" w:bidi="ar-SA"/>
                    </w:rPr>
                    <w:t>#</w:t>
                  </w:r>
                </w:p>
              </w:tc>
              <w:tc>
                <w:tcPr>
                  <w:tcW w:w="746" w:type="pct"/>
                  <w:tcBorders>
                    <w:tl2br w:val="nil"/>
                    <w:tr2bl w:val="nil"/>
                  </w:tcBorders>
                  <w:noWrap w:val="0"/>
                  <w:vAlign w:val="center"/>
                </w:tcPr>
                <w:p w14:paraId="253251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1</w:t>
                  </w:r>
                </w:p>
              </w:tc>
              <w:tc>
                <w:tcPr>
                  <w:tcW w:w="780" w:type="pct"/>
                  <w:tcBorders>
                    <w:tl2br w:val="nil"/>
                    <w:tr2bl w:val="nil"/>
                  </w:tcBorders>
                  <w:noWrap w:val="0"/>
                  <w:vAlign w:val="center"/>
                </w:tcPr>
                <w:p w14:paraId="6B4CC07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0.248</w:t>
                  </w:r>
                </w:p>
              </w:tc>
              <w:tc>
                <w:tcPr>
                  <w:tcW w:w="780" w:type="pct"/>
                  <w:tcBorders>
                    <w:tl2br w:val="nil"/>
                    <w:tr2bl w:val="nil"/>
                  </w:tcBorders>
                  <w:noWrap w:val="0"/>
                  <w:vAlign w:val="center"/>
                </w:tcPr>
                <w:p w14:paraId="7AEEB5D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73" w:type="pct"/>
                  <w:tcBorders>
                    <w:tl2br w:val="nil"/>
                    <w:tr2bl w:val="nil"/>
                  </w:tcBorders>
                  <w:noWrap w:val="0"/>
                  <w:vAlign w:val="center"/>
                </w:tcPr>
                <w:p w14:paraId="67B4D87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0.094</w:t>
                  </w:r>
                </w:p>
              </w:tc>
              <w:tc>
                <w:tcPr>
                  <w:tcW w:w="786" w:type="pct"/>
                  <w:tcBorders>
                    <w:tl2br w:val="nil"/>
                    <w:tr2bl w:val="nil"/>
                  </w:tcBorders>
                  <w:noWrap w:val="0"/>
                  <w:vAlign w:val="center"/>
                </w:tcPr>
                <w:p w14:paraId="294430B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r>
            <w:tr w14:paraId="6614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1C302A4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rPr>
                  </w:pPr>
                </w:p>
              </w:tc>
              <w:tc>
                <w:tcPr>
                  <w:tcW w:w="481" w:type="pct"/>
                  <w:vMerge w:val="continue"/>
                  <w:tcBorders>
                    <w:tl2br w:val="nil"/>
                    <w:tr2bl w:val="nil"/>
                  </w:tcBorders>
                  <w:noWrap w:val="0"/>
                  <w:vAlign w:val="center"/>
                </w:tcPr>
                <w:p w14:paraId="1C6872F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noWrap w:val="0"/>
                  <w:vAlign w:val="center"/>
                </w:tcPr>
                <w:p w14:paraId="0076B6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w:t>
                  </w:r>
                </w:p>
              </w:tc>
              <w:tc>
                <w:tcPr>
                  <w:tcW w:w="780" w:type="pct"/>
                  <w:tcBorders>
                    <w:tl2br w:val="nil"/>
                    <w:tr2bl w:val="nil"/>
                  </w:tcBorders>
                  <w:noWrap w:val="0"/>
                  <w:vAlign w:val="center"/>
                </w:tcPr>
                <w:p w14:paraId="3A7D5A0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0.273</w:t>
                  </w:r>
                </w:p>
              </w:tc>
              <w:tc>
                <w:tcPr>
                  <w:tcW w:w="780" w:type="pct"/>
                  <w:tcBorders>
                    <w:tl2br w:val="nil"/>
                    <w:tr2bl w:val="nil"/>
                  </w:tcBorders>
                  <w:noWrap w:val="0"/>
                  <w:vAlign w:val="center"/>
                </w:tcPr>
                <w:p w14:paraId="5907C72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73" w:type="pct"/>
                  <w:tcBorders>
                    <w:tl2br w:val="nil"/>
                    <w:tr2bl w:val="nil"/>
                  </w:tcBorders>
                  <w:noWrap w:val="0"/>
                  <w:vAlign w:val="center"/>
                </w:tcPr>
                <w:p w14:paraId="46B3B87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0.091</w:t>
                  </w:r>
                </w:p>
              </w:tc>
              <w:tc>
                <w:tcPr>
                  <w:tcW w:w="786" w:type="pct"/>
                  <w:tcBorders>
                    <w:tl2br w:val="nil"/>
                    <w:tr2bl w:val="nil"/>
                  </w:tcBorders>
                  <w:noWrap w:val="0"/>
                  <w:vAlign w:val="center"/>
                </w:tcPr>
                <w:p w14:paraId="093691A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r>
            <w:tr w14:paraId="597C8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43C5C8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40C54DB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noWrap w:val="0"/>
                  <w:vAlign w:val="center"/>
                </w:tcPr>
                <w:p w14:paraId="5D48182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w:t>
                  </w:r>
                </w:p>
              </w:tc>
              <w:tc>
                <w:tcPr>
                  <w:tcW w:w="780" w:type="pct"/>
                  <w:tcBorders>
                    <w:tl2br w:val="nil"/>
                    <w:tr2bl w:val="nil"/>
                  </w:tcBorders>
                  <w:noWrap w:val="0"/>
                  <w:vAlign w:val="center"/>
                </w:tcPr>
                <w:p w14:paraId="7E6C1B9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0.290</w:t>
                  </w:r>
                </w:p>
              </w:tc>
              <w:tc>
                <w:tcPr>
                  <w:tcW w:w="780" w:type="pct"/>
                  <w:tcBorders>
                    <w:tl2br w:val="nil"/>
                    <w:tr2bl w:val="nil"/>
                  </w:tcBorders>
                  <w:noWrap w:val="0"/>
                  <w:vAlign w:val="center"/>
                </w:tcPr>
                <w:p w14:paraId="38FB8A2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73" w:type="pct"/>
                  <w:tcBorders>
                    <w:tl2br w:val="nil"/>
                    <w:tr2bl w:val="nil"/>
                  </w:tcBorders>
                  <w:noWrap w:val="0"/>
                  <w:vAlign w:val="center"/>
                </w:tcPr>
                <w:p w14:paraId="121FD2A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0.093</w:t>
                  </w:r>
                </w:p>
              </w:tc>
              <w:tc>
                <w:tcPr>
                  <w:tcW w:w="786" w:type="pct"/>
                  <w:tcBorders>
                    <w:tl2br w:val="nil"/>
                    <w:tr2bl w:val="nil"/>
                  </w:tcBorders>
                  <w:noWrap w:val="0"/>
                  <w:vAlign w:val="center"/>
                </w:tcPr>
                <w:p w14:paraId="562FA80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r>
            <w:tr w14:paraId="3D84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0839E5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25EA13A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noWrap w:val="0"/>
                  <w:vAlign w:val="center"/>
                </w:tcPr>
                <w:p w14:paraId="33FF5F5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w:t>
                  </w:r>
                </w:p>
              </w:tc>
              <w:tc>
                <w:tcPr>
                  <w:tcW w:w="780" w:type="pct"/>
                  <w:tcBorders>
                    <w:tl2br w:val="nil"/>
                    <w:tr2bl w:val="nil"/>
                  </w:tcBorders>
                  <w:noWrap w:val="0"/>
                  <w:vAlign w:val="center"/>
                </w:tcPr>
                <w:p w14:paraId="7AC752F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0.264</w:t>
                  </w:r>
                </w:p>
              </w:tc>
              <w:tc>
                <w:tcPr>
                  <w:tcW w:w="780" w:type="pct"/>
                  <w:tcBorders>
                    <w:tl2br w:val="nil"/>
                    <w:tr2bl w:val="nil"/>
                  </w:tcBorders>
                  <w:noWrap w:val="0"/>
                  <w:vAlign w:val="center"/>
                </w:tcPr>
                <w:p w14:paraId="06C2801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73" w:type="pct"/>
                  <w:tcBorders>
                    <w:tl2br w:val="nil"/>
                    <w:tr2bl w:val="nil"/>
                  </w:tcBorders>
                  <w:noWrap w:val="0"/>
                  <w:vAlign w:val="center"/>
                </w:tcPr>
                <w:p w14:paraId="6CA96B6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0.087</w:t>
                  </w:r>
                </w:p>
              </w:tc>
              <w:tc>
                <w:tcPr>
                  <w:tcW w:w="786" w:type="pct"/>
                  <w:tcBorders>
                    <w:tl2br w:val="nil"/>
                    <w:tr2bl w:val="nil"/>
                  </w:tcBorders>
                  <w:noWrap w:val="0"/>
                  <w:vAlign w:val="center"/>
                </w:tcPr>
                <w:p w14:paraId="2535DB9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r>
            <w:tr w14:paraId="7E8B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132D475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restart"/>
                  <w:tcBorders>
                    <w:tl2br w:val="nil"/>
                    <w:tr2bl w:val="nil"/>
                  </w:tcBorders>
                  <w:noWrap w:val="0"/>
                  <w:vAlign w:val="center"/>
                </w:tcPr>
                <w:p w14:paraId="43F94DD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2</w:t>
                  </w:r>
                  <w:r>
                    <w:rPr>
                      <w:rFonts w:hint="eastAsia" w:cs="Times New Roman"/>
                      <w:b w:val="0"/>
                      <w:bCs/>
                      <w:color w:val="auto"/>
                      <w:kern w:val="2"/>
                      <w:sz w:val="21"/>
                      <w:szCs w:val="21"/>
                      <w:highlight w:val="none"/>
                      <w:vertAlign w:val="baseline"/>
                      <w:lang w:val="en-US" w:eastAsia="zh-CN" w:bidi="ar-SA"/>
                    </w:rPr>
                    <w:t>#</w:t>
                  </w:r>
                </w:p>
              </w:tc>
              <w:tc>
                <w:tcPr>
                  <w:tcW w:w="746" w:type="pct"/>
                  <w:tcBorders>
                    <w:tl2br w:val="nil"/>
                    <w:tr2bl w:val="nil"/>
                  </w:tcBorders>
                  <w:shd w:val="clear" w:color="auto" w:fill="auto"/>
                  <w:noWrap w:val="0"/>
                  <w:vAlign w:val="center"/>
                </w:tcPr>
                <w:p w14:paraId="06FDF7A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1</w:t>
                  </w:r>
                </w:p>
              </w:tc>
              <w:tc>
                <w:tcPr>
                  <w:tcW w:w="780" w:type="pct"/>
                  <w:tcBorders>
                    <w:tl2br w:val="nil"/>
                    <w:tr2bl w:val="nil"/>
                  </w:tcBorders>
                  <w:noWrap w:val="0"/>
                  <w:vAlign w:val="center"/>
                </w:tcPr>
                <w:p w14:paraId="54E04E9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0.582</w:t>
                  </w:r>
                </w:p>
              </w:tc>
              <w:tc>
                <w:tcPr>
                  <w:tcW w:w="780" w:type="pct"/>
                  <w:tcBorders>
                    <w:tl2br w:val="nil"/>
                    <w:tr2bl w:val="nil"/>
                  </w:tcBorders>
                  <w:noWrap w:val="0"/>
                  <w:vAlign w:val="center"/>
                </w:tcPr>
                <w:p w14:paraId="156E67B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0.334</w:t>
                  </w:r>
                </w:p>
              </w:tc>
              <w:tc>
                <w:tcPr>
                  <w:tcW w:w="773" w:type="pct"/>
                  <w:tcBorders>
                    <w:tl2br w:val="nil"/>
                    <w:tr2bl w:val="nil"/>
                  </w:tcBorders>
                  <w:noWrap w:val="0"/>
                  <w:vAlign w:val="center"/>
                </w:tcPr>
                <w:p w14:paraId="3CC19E5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0.261</w:t>
                  </w:r>
                </w:p>
              </w:tc>
              <w:tc>
                <w:tcPr>
                  <w:tcW w:w="786" w:type="pct"/>
                  <w:tcBorders>
                    <w:tl2br w:val="nil"/>
                    <w:tr2bl w:val="nil"/>
                  </w:tcBorders>
                  <w:noWrap w:val="0"/>
                  <w:vAlign w:val="center"/>
                </w:tcPr>
                <w:p w14:paraId="55AB434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0.167</w:t>
                  </w:r>
                </w:p>
              </w:tc>
            </w:tr>
            <w:tr w14:paraId="4838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6F7602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rPr>
                  </w:pPr>
                </w:p>
              </w:tc>
              <w:tc>
                <w:tcPr>
                  <w:tcW w:w="481" w:type="pct"/>
                  <w:vMerge w:val="continue"/>
                  <w:tcBorders>
                    <w:tl2br w:val="nil"/>
                    <w:tr2bl w:val="nil"/>
                  </w:tcBorders>
                  <w:noWrap w:val="0"/>
                  <w:vAlign w:val="center"/>
                </w:tcPr>
                <w:p w14:paraId="78FDFA4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36F308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w:t>
                  </w:r>
                </w:p>
              </w:tc>
              <w:tc>
                <w:tcPr>
                  <w:tcW w:w="780" w:type="pct"/>
                  <w:tcBorders>
                    <w:tl2br w:val="nil"/>
                    <w:tr2bl w:val="nil"/>
                  </w:tcBorders>
                  <w:noWrap w:val="0"/>
                  <w:vAlign w:val="center"/>
                </w:tcPr>
                <w:p w14:paraId="6DA4555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0.633</w:t>
                  </w:r>
                </w:p>
              </w:tc>
              <w:tc>
                <w:tcPr>
                  <w:tcW w:w="780" w:type="pct"/>
                  <w:tcBorders>
                    <w:tl2br w:val="nil"/>
                    <w:tr2bl w:val="nil"/>
                  </w:tcBorders>
                  <w:noWrap w:val="0"/>
                  <w:vAlign w:val="center"/>
                </w:tcPr>
                <w:p w14:paraId="514ECEA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0.360</w:t>
                  </w:r>
                </w:p>
              </w:tc>
              <w:tc>
                <w:tcPr>
                  <w:tcW w:w="773" w:type="pct"/>
                  <w:tcBorders>
                    <w:tl2br w:val="nil"/>
                    <w:tr2bl w:val="nil"/>
                  </w:tcBorders>
                  <w:noWrap w:val="0"/>
                  <w:vAlign w:val="center"/>
                </w:tcPr>
                <w:p w14:paraId="5479EFA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0.265</w:t>
                  </w:r>
                </w:p>
              </w:tc>
              <w:tc>
                <w:tcPr>
                  <w:tcW w:w="786" w:type="pct"/>
                  <w:tcBorders>
                    <w:tl2br w:val="nil"/>
                    <w:tr2bl w:val="nil"/>
                  </w:tcBorders>
                  <w:noWrap w:val="0"/>
                  <w:vAlign w:val="center"/>
                </w:tcPr>
                <w:p w14:paraId="160BC92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0.174</w:t>
                  </w:r>
                </w:p>
              </w:tc>
            </w:tr>
            <w:tr w14:paraId="29BC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4F32A8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4275637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4D81A3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w:t>
                  </w:r>
                </w:p>
              </w:tc>
              <w:tc>
                <w:tcPr>
                  <w:tcW w:w="780" w:type="pct"/>
                  <w:tcBorders>
                    <w:tl2br w:val="nil"/>
                    <w:tr2bl w:val="nil"/>
                  </w:tcBorders>
                  <w:noWrap w:val="0"/>
                  <w:vAlign w:val="center"/>
                </w:tcPr>
                <w:p w14:paraId="1BAE53A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0.626</w:t>
                  </w:r>
                </w:p>
              </w:tc>
              <w:tc>
                <w:tcPr>
                  <w:tcW w:w="780" w:type="pct"/>
                  <w:tcBorders>
                    <w:tl2br w:val="nil"/>
                    <w:tr2bl w:val="nil"/>
                  </w:tcBorders>
                  <w:noWrap w:val="0"/>
                  <w:vAlign w:val="center"/>
                </w:tcPr>
                <w:p w14:paraId="1C75F3F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0.336</w:t>
                  </w:r>
                </w:p>
              </w:tc>
              <w:tc>
                <w:tcPr>
                  <w:tcW w:w="773" w:type="pct"/>
                  <w:tcBorders>
                    <w:tl2br w:val="nil"/>
                    <w:tr2bl w:val="nil"/>
                  </w:tcBorders>
                  <w:noWrap w:val="0"/>
                  <w:vAlign w:val="center"/>
                </w:tcPr>
                <w:p w14:paraId="16461D1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0.258</w:t>
                  </w:r>
                </w:p>
              </w:tc>
              <w:tc>
                <w:tcPr>
                  <w:tcW w:w="786" w:type="pct"/>
                  <w:tcBorders>
                    <w:tl2br w:val="nil"/>
                    <w:tr2bl w:val="nil"/>
                  </w:tcBorders>
                  <w:noWrap w:val="0"/>
                  <w:vAlign w:val="center"/>
                </w:tcPr>
                <w:p w14:paraId="6E3C189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0.165</w:t>
                  </w:r>
                </w:p>
              </w:tc>
            </w:tr>
            <w:tr w14:paraId="7CED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55DD7B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215DCB3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412C0C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w:t>
                  </w:r>
                </w:p>
              </w:tc>
              <w:tc>
                <w:tcPr>
                  <w:tcW w:w="780" w:type="pct"/>
                  <w:tcBorders>
                    <w:tl2br w:val="nil"/>
                    <w:tr2bl w:val="nil"/>
                  </w:tcBorders>
                  <w:noWrap w:val="0"/>
                  <w:vAlign w:val="center"/>
                </w:tcPr>
                <w:p w14:paraId="7DA19CF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0.595</w:t>
                  </w:r>
                </w:p>
              </w:tc>
              <w:tc>
                <w:tcPr>
                  <w:tcW w:w="780" w:type="pct"/>
                  <w:tcBorders>
                    <w:tl2br w:val="nil"/>
                    <w:tr2bl w:val="nil"/>
                  </w:tcBorders>
                  <w:noWrap w:val="0"/>
                  <w:vAlign w:val="center"/>
                </w:tcPr>
                <w:p w14:paraId="479F4CC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0.331</w:t>
                  </w:r>
                </w:p>
              </w:tc>
              <w:tc>
                <w:tcPr>
                  <w:tcW w:w="773" w:type="pct"/>
                  <w:tcBorders>
                    <w:tl2br w:val="nil"/>
                    <w:tr2bl w:val="nil"/>
                  </w:tcBorders>
                  <w:noWrap w:val="0"/>
                  <w:vAlign w:val="center"/>
                </w:tcPr>
                <w:p w14:paraId="391FAA9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0.253</w:t>
                  </w:r>
                </w:p>
              </w:tc>
              <w:tc>
                <w:tcPr>
                  <w:tcW w:w="786" w:type="pct"/>
                  <w:tcBorders>
                    <w:tl2br w:val="nil"/>
                    <w:tr2bl w:val="nil"/>
                  </w:tcBorders>
                  <w:noWrap w:val="0"/>
                  <w:vAlign w:val="center"/>
                </w:tcPr>
                <w:p w14:paraId="378CE7C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0.166</w:t>
                  </w:r>
                </w:p>
              </w:tc>
            </w:tr>
            <w:tr w14:paraId="0809F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7D7F932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restart"/>
                  <w:tcBorders>
                    <w:tl2br w:val="nil"/>
                    <w:tr2bl w:val="nil"/>
                  </w:tcBorders>
                  <w:noWrap w:val="0"/>
                  <w:vAlign w:val="center"/>
                </w:tcPr>
                <w:p w14:paraId="1E6BC29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default" w:ascii="Times New Roman" w:hAnsi="Times New Roman" w:eastAsia="宋体" w:cs="Times New Roman"/>
                      <w:b w:val="0"/>
                      <w:bCs/>
                      <w:color w:val="auto"/>
                      <w:kern w:val="2"/>
                      <w:sz w:val="21"/>
                      <w:szCs w:val="21"/>
                      <w:highlight w:val="none"/>
                      <w:vertAlign w:val="baseline"/>
                      <w:lang w:val="en-US" w:eastAsia="zh-CN" w:bidi="ar-SA"/>
                    </w:rPr>
                    <w:t>3</w:t>
                  </w:r>
                  <w:r>
                    <w:rPr>
                      <w:rFonts w:hint="eastAsia" w:cs="Times New Roman"/>
                      <w:b w:val="0"/>
                      <w:bCs/>
                      <w:color w:val="auto"/>
                      <w:kern w:val="2"/>
                      <w:sz w:val="21"/>
                      <w:szCs w:val="21"/>
                      <w:highlight w:val="none"/>
                      <w:vertAlign w:val="baseline"/>
                      <w:lang w:val="en-US" w:eastAsia="zh-CN" w:bidi="ar-SA"/>
                    </w:rPr>
                    <w:t>#</w:t>
                  </w:r>
                </w:p>
              </w:tc>
              <w:tc>
                <w:tcPr>
                  <w:tcW w:w="746" w:type="pct"/>
                  <w:tcBorders>
                    <w:tl2br w:val="nil"/>
                    <w:tr2bl w:val="nil"/>
                  </w:tcBorders>
                  <w:shd w:val="clear" w:color="auto" w:fill="auto"/>
                  <w:noWrap w:val="0"/>
                  <w:vAlign w:val="center"/>
                </w:tcPr>
                <w:p w14:paraId="77D5B3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1</w:t>
                  </w:r>
                </w:p>
              </w:tc>
              <w:tc>
                <w:tcPr>
                  <w:tcW w:w="780" w:type="pct"/>
                  <w:tcBorders>
                    <w:tl2br w:val="nil"/>
                    <w:tr2bl w:val="nil"/>
                  </w:tcBorders>
                  <w:noWrap w:val="0"/>
                  <w:vAlign w:val="center"/>
                </w:tcPr>
                <w:p w14:paraId="305979A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0.608</w:t>
                  </w:r>
                </w:p>
              </w:tc>
              <w:tc>
                <w:tcPr>
                  <w:tcW w:w="780" w:type="pct"/>
                  <w:tcBorders>
                    <w:tl2br w:val="nil"/>
                    <w:tr2bl w:val="nil"/>
                  </w:tcBorders>
                  <w:noWrap w:val="0"/>
                  <w:vAlign w:val="center"/>
                </w:tcPr>
                <w:p w14:paraId="1827971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0.360</w:t>
                  </w:r>
                </w:p>
              </w:tc>
              <w:tc>
                <w:tcPr>
                  <w:tcW w:w="773" w:type="pct"/>
                  <w:tcBorders>
                    <w:tl2br w:val="nil"/>
                    <w:tr2bl w:val="nil"/>
                  </w:tcBorders>
                  <w:noWrap w:val="0"/>
                  <w:vAlign w:val="center"/>
                </w:tcPr>
                <w:p w14:paraId="5374F74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0.257</w:t>
                  </w:r>
                </w:p>
              </w:tc>
              <w:tc>
                <w:tcPr>
                  <w:tcW w:w="786" w:type="pct"/>
                  <w:tcBorders>
                    <w:tl2br w:val="nil"/>
                    <w:tr2bl w:val="nil"/>
                  </w:tcBorders>
                  <w:noWrap w:val="0"/>
                  <w:vAlign w:val="center"/>
                </w:tcPr>
                <w:p w14:paraId="4137BD2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0.163</w:t>
                  </w:r>
                </w:p>
              </w:tc>
            </w:tr>
            <w:tr w14:paraId="4E4D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33D4C9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rPr>
                  </w:pPr>
                </w:p>
              </w:tc>
              <w:tc>
                <w:tcPr>
                  <w:tcW w:w="481" w:type="pct"/>
                  <w:vMerge w:val="continue"/>
                  <w:tcBorders>
                    <w:tl2br w:val="nil"/>
                    <w:tr2bl w:val="nil"/>
                  </w:tcBorders>
                  <w:noWrap w:val="0"/>
                  <w:vAlign w:val="center"/>
                </w:tcPr>
                <w:p w14:paraId="6AB21C5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7EA0237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w:t>
                  </w:r>
                </w:p>
              </w:tc>
              <w:tc>
                <w:tcPr>
                  <w:tcW w:w="780" w:type="pct"/>
                  <w:tcBorders>
                    <w:tl2br w:val="nil"/>
                    <w:tr2bl w:val="nil"/>
                  </w:tcBorders>
                  <w:noWrap w:val="0"/>
                  <w:vAlign w:val="center"/>
                </w:tcPr>
                <w:p w14:paraId="22261F9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0.637</w:t>
                  </w:r>
                </w:p>
              </w:tc>
              <w:tc>
                <w:tcPr>
                  <w:tcW w:w="780" w:type="pct"/>
                  <w:tcBorders>
                    <w:tl2br w:val="nil"/>
                    <w:tr2bl w:val="nil"/>
                  </w:tcBorders>
                  <w:noWrap w:val="0"/>
                  <w:vAlign w:val="center"/>
                </w:tcPr>
                <w:p w14:paraId="29D2F0F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0.364</w:t>
                  </w:r>
                </w:p>
              </w:tc>
              <w:tc>
                <w:tcPr>
                  <w:tcW w:w="773" w:type="pct"/>
                  <w:tcBorders>
                    <w:tl2br w:val="nil"/>
                    <w:tr2bl w:val="nil"/>
                  </w:tcBorders>
                  <w:noWrap w:val="0"/>
                  <w:vAlign w:val="center"/>
                </w:tcPr>
                <w:p w14:paraId="08065B2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0.254</w:t>
                  </w:r>
                </w:p>
              </w:tc>
              <w:tc>
                <w:tcPr>
                  <w:tcW w:w="786" w:type="pct"/>
                  <w:tcBorders>
                    <w:tl2br w:val="nil"/>
                    <w:tr2bl w:val="nil"/>
                  </w:tcBorders>
                  <w:noWrap w:val="0"/>
                  <w:vAlign w:val="center"/>
                </w:tcPr>
                <w:p w14:paraId="0A74841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0.163</w:t>
                  </w:r>
                </w:p>
              </w:tc>
            </w:tr>
            <w:tr w14:paraId="5A858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69425A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3A3475B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1CF48F1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w:t>
                  </w:r>
                </w:p>
              </w:tc>
              <w:tc>
                <w:tcPr>
                  <w:tcW w:w="780" w:type="pct"/>
                  <w:tcBorders>
                    <w:tl2br w:val="nil"/>
                    <w:tr2bl w:val="nil"/>
                  </w:tcBorders>
                  <w:noWrap w:val="0"/>
                  <w:vAlign w:val="center"/>
                </w:tcPr>
                <w:p w14:paraId="02FB55D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0.621</w:t>
                  </w:r>
                </w:p>
              </w:tc>
              <w:tc>
                <w:tcPr>
                  <w:tcW w:w="780" w:type="pct"/>
                  <w:tcBorders>
                    <w:tl2br w:val="nil"/>
                    <w:tr2bl w:val="nil"/>
                  </w:tcBorders>
                  <w:noWrap w:val="0"/>
                  <w:vAlign w:val="center"/>
                </w:tcPr>
                <w:p w14:paraId="657B7B7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0.331</w:t>
                  </w:r>
                </w:p>
              </w:tc>
              <w:tc>
                <w:tcPr>
                  <w:tcW w:w="773" w:type="pct"/>
                  <w:tcBorders>
                    <w:tl2br w:val="nil"/>
                    <w:tr2bl w:val="nil"/>
                  </w:tcBorders>
                  <w:noWrap w:val="0"/>
                  <w:vAlign w:val="center"/>
                </w:tcPr>
                <w:p w14:paraId="44D11E1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0.249</w:t>
                  </w:r>
                </w:p>
              </w:tc>
              <w:tc>
                <w:tcPr>
                  <w:tcW w:w="786" w:type="pct"/>
                  <w:tcBorders>
                    <w:tl2br w:val="nil"/>
                    <w:tr2bl w:val="nil"/>
                  </w:tcBorders>
                  <w:noWrap w:val="0"/>
                  <w:vAlign w:val="center"/>
                </w:tcPr>
                <w:p w14:paraId="6274442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0.156</w:t>
                  </w:r>
                </w:p>
              </w:tc>
            </w:tr>
            <w:tr w14:paraId="72F5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23F75CC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41759C0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3F4CC7A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w:t>
                  </w:r>
                </w:p>
              </w:tc>
              <w:tc>
                <w:tcPr>
                  <w:tcW w:w="780" w:type="pct"/>
                  <w:tcBorders>
                    <w:tl2br w:val="nil"/>
                    <w:tr2bl w:val="nil"/>
                  </w:tcBorders>
                  <w:noWrap w:val="0"/>
                  <w:vAlign w:val="center"/>
                </w:tcPr>
                <w:p w14:paraId="2788B81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0.617</w:t>
                  </w:r>
                </w:p>
              </w:tc>
              <w:tc>
                <w:tcPr>
                  <w:tcW w:w="780" w:type="pct"/>
                  <w:tcBorders>
                    <w:tl2br w:val="nil"/>
                    <w:tr2bl w:val="nil"/>
                  </w:tcBorders>
                  <w:noWrap w:val="0"/>
                  <w:vAlign w:val="center"/>
                </w:tcPr>
                <w:p w14:paraId="53E5402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0.353</w:t>
                  </w:r>
                </w:p>
              </w:tc>
              <w:tc>
                <w:tcPr>
                  <w:tcW w:w="773" w:type="pct"/>
                  <w:tcBorders>
                    <w:tl2br w:val="nil"/>
                    <w:tr2bl w:val="nil"/>
                  </w:tcBorders>
                  <w:noWrap w:val="0"/>
                  <w:vAlign w:val="center"/>
                </w:tcPr>
                <w:p w14:paraId="4002302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0.252</w:t>
                  </w:r>
                </w:p>
              </w:tc>
              <w:tc>
                <w:tcPr>
                  <w:tcW w:w="786" w:type="pct"/>
                  <w:tcBorders>
                    <w:tl2br w:val="nil"/>
                    <w:tr2bl w:val="nil"/>
                  </w:tcBorders>
                  <w:noWrap w:val="0"/>
                  <w:vAlign w:val="center"/>
                </w:tcPr>
                <w:p w14:paraId="70EF2A7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0.165</w:t>
                  </w:r>
                </w:p>
              </w:tc>
            </w:tr>
            <w:tr w14:paraId="4705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1E223AE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restart"/>
                  <w:tcBorders>
                    <w:tl2br w:val="nil"/>
                    <w:tr2bl w:val="nil"/>
                  </w:tcBorders>
                  <w:noWrap w:val="0"/>
                  <w:vAlign w:val="center"/>
                </w:tcPr>
                <w:p w14:paraId="11EA53E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4</w:t>
                  </w:r>
                  <w:r>
                    <w:rPr>
                      <w:rFonts w:hint="eastAsia" w:cs="Times New Roman"/>
                      <w:b w:val="0"/>
                      <w:bCs/>
                      <w:color w:val="auto"/>
                      <w:kern w:val="2"/>
                      <w:sz w:val="21"/>
                      <w:szCs w:val="21"/>
                      <w:highlight w:val="none"/>
                      <w:vertAlign w:val="baseline"/>
                      <w:lang w:val="en-US" w:eastAsia="zh-CN" w:bidi="ar-SA"/>
                    </w:rPr>
                    <w:t>#</w:t>
                  </w:r>
                </w:p>
              </w:tc>
              <w:tc>
                <w:tcPr>
                  <w:tcW w:w="746" w:type="pct"/>
                  <w:tcBorders>
                    <w:tl2br w:val="nil"/>
                    <w:tr2bl w:val="nil"/>
                  </w:tcBorders>
                  <w:shd w:val="clear" w:color="auto" w:fill="auto"/>
                  <w:noWrap w:val="0"/>
                  <w:vAlign w:val="center"/>
                </w:tcPr>
                <w:p w14:paraId="135AD4A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1</w:t>
                  </w:r>
                </w:p>
              </w:tc>
              <w:tc>
                <w:tcPr>
                  <w:tcW w:w="780" w:type="pct"/>
                  <w:tcBorders>
                    <w:tl2br w:val="nil"/>
                    <w:tr2bl w:val="nil"/>
                  </w:tcBorders>
                  <w:noWrap w:val="0"/>
                  <w:vAlign w:val="center"/>
                </w:tcPr>
                <w:p w14:paraId="2A8DF51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0.647</w:t>
                  </w:r>
                </w:p>
              </w:tc>
              <w:tc>
                <w:tcPr>
                  <w:tcW w:w="780" w:type="pct"/>
                  <w:tcBorders>
                    <w:tl2br w:val="nil"/>
                    <w:tr2bl w:val="nil"/>
                  </w:tcBorders>
                  <w:noWrap w:val="0"/>
                  <w:vAlign w:val="center"/>
                </w:tcPr>
                <w:p w14:paraId="37CB0E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0.399</w:t>
                  </w:r>
                </w:p>
              </w:tc>
              <w:tc>
                <w:tcPr>
                  <w:tcW w:w="773" w:type="pct"/>
                  <w:tcBorders>
                    <w:tl2br w:val="nil"/>
                    <w:tr2bl w:val="nil"/>
                  </w:tcBorders>
                  <w:noWrap w:val="0"/>
                  <w:vAlign w:val="center"/>
                </w:tcPr>
                <w:p w14:paraId="18963CD9">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0.262</w:t>
                  </w:r>
                </w:p>
              </w:tc>
              <w:tc>
                <w:tcPr>
                  <w:tcW w:w="786" w:type="pct"/>
                  <w:tcBorders>
                    <w:tl2br w:val="nil"/>
                    <w:tr2bl w:val="nil"/>
                  </w:tcBorders>
                  <w:noWrap w:val="0"/>
                  <w:vAlign w:val="center"/>
                </w:tcPr>
                <w:p w14:paraId="3F06A63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0.168</w:t>
                  </w:r>
                </w:p>
              </w:tc>
            </w:tr>
            <w:tr w14:paraId="198A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45C02B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rPr>
                  </w:pPr>
                </w:p>
              </w:tc>
              <w:tc>
                <w:tcPr>
                  <w:tcW w:w="481" w:type="pct"/>
                  <w:vMerge w:val="continue"/>
                  <w:tcBorders>
                    <w:tl2br w:val="nil"/>
                    <w:tr2bl w:val="nil"/>
                  </w:tcBorders>
                  <w:noWrap w:val="0"/>
                  <w:vAlign w:val="center"/>
                </w:tcPr>
                <w:p w14:paraId="22981BE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3BDDB6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w:t>
                  </w:r>
                </w:p>
              </w:tc>
              <w:tc>
                <w:tcPr>
                  <w:tcW w:w="780" w:type="pct"/>
                  <w:tcBorders>
                    <w:tl2br w:val="nil"/>
                    <w:tr2bl w:val="nil"/>
                  </w:tcBorders>
                  <w:noWrap w:val="0"/>
                  <w:vAlign w:val="center"/>
                </w:tcPr>
                <w:p w14:paraId="774FF80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0.618</w:t>
                  </w:r>
                </w:p>
              </w:tc>
              <w:tc>
                <w:tcPr>
                  <w:tcW w:w="780" w:type="pct"/>
                  <w:tcBorders>
                    <w:tl2br w:val="nil"/>
                    <w:tr2bl w:val="nil"/>
                  </w:tcBorders>
                  <w:noWrap w:val="0"/>
                  <w:vAlign w:val="center"/>
                </w:tcPr>
                <w:p w14:paraId="0D83ECD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0.345</w:t>
                  </w:r>
                </w:p>
              </w:tc>
              <w:tc>
                <w:tcPr>
                  <w:tcW w:w="773" w:type="pct"/>
                  <w:tcBorders>
                    <w:tl2br w:val="nil"/>
                    <w:tr2bl w:val="nil"/>
                  </w:tcBorders>
                  <w:noWrap w:val="0"/>
                  <w:vAlign w:val="center"/>
                </w:tcPr>
                <w:p w14:paraId="7F4C8D7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0.259</w:t>
                  </w:r>
                </w:p>
              </w:tc>
              <w:tc>
                <w:tcPr>
                  <w:tcW w:w="786" w:type="pct"/>
                  <w:tcBorders>
                    <w:tl2br w:val="nil"/>
                    <w:tr2bl w:val="nil"/>
                  </w:tcBorders>
                  <w:noWrap w:val="0"/>
                  <w:vAlign w:val="center"/>
                </w:tcPr>
                <w:p w14:paraId="70592B5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0.168</w:t>
                  </w:r>
                </w:p>
              </w:tc>
            </w:tr>
            <w:tr w14:paraId="1BB8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5DE906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632B8DC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7D99F3C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w:t>
                  </w:r>
                </w:p>
              </w:tc>
              <w:tc>
                <w:tcPr>
                  <w:tcW w:w="780" w:type="pct"/>
                  <w:tcBorders>
                    <w:tl2br w:val="nil"/>
                    <w:tr2bl w:val="nil"/>
                  </w:tcBorders>
                  <w:noWrap w:val="0"/>
                  <w:vAlign w:val="center"/>
                </w:tcPr>
                <w:p w14:paraId="0DB3ADE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0.598</w:t>
                  </w:r>
                </w:p>
              </w:tc>
              <w:tc>
                <w:tcPr>
                  <w:tcW w:w="780" w:type="pct"/>
                  <w:tcBorders>
                    <w:tl2br w:val="nil"/>
                    <w:tr2bl w:val="nil"/>
                  </w:tcBorders>
                  <w:noWrap w:val="0"/>
                  <w:vAlign w:val="center"/>
                </w:tcPr>
                <w:p w14:paraId="0436B085">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0.308</w:t>
                  </w:r>
                </w:p>
              </w:tc>
              <w:tc>
                <w:tcPr>
                  <w:tcW w:w="773" w:type="pct"/>
                  <w:tcBorders>
                    <w:tl2br w:val="nil"/>
                    <w:tr2bl w:val="nil"/>
                  </w:tcBorders>
                  <w:noWrap w:val="0"/>
                  <w:vAlign w:val="center"/>
                </w:tcPr>
                <w:p w14:paraId="63F643D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0.265</w:t>
                  </w:r>
                </w:p>
              </w:tc>
              <w:tc>
                <w:tcPr>
                  <w:tcW w:w="786" w:type="pct"/>
                  <w:tcBorders>
                    <w:tl2br w:val="nil"/>
                    <w:tr2bl w:val="nil"/>
                  </w:tcBorders>
                  <w:noWrap w:val="0"/>
                  <w:vAlign w:val="center"/>
                </w:tcPr>
                <w:p w14:paraId="16FC6118">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0.172</w:t>
                  </w:r>
                </w:p>
              </w:tc>
            </w:tr>
            <w:tr w14:paraId="21C9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651" w:type="pct"/>
                  <w:vMerge w:val="continue"/>
                  <w:tcBorders>
                    <w:tl2br w:val="nil"/>
                    <w:tr2bl w:val="nil"/>
                  </w:tcBorders>
                  <w:noWrap w:val="0"/>
                  <w:vAlign w:val="center"/>
                </w:tcPr>
                <w:p w14:paraId="5ECF2D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481" w:type="pct"/>
                  <w:vMerge w:val="continue"/>
                  <w:tcBorders>
                    <w:tl2br w:val="nil"/>
                    <w:tr2bl w:val="nil"/>
                  </w:tcBorders>
                  <w:noWrap w:val="0"/>
                  <w:vAlign w:val="center"/>
                </w:tcPr>
                <w:p w14:paraId="4BC372D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746" w:type="pct"/>
                  <w:tcBorders>
                    <w:tl2br w:val="nil"/>
                    <w:tr2bl w:val="nil"/>
                  </w:tcBorders>
                  <w:shd w:val="clear" w:color="auto" w:fill="auto"/>
                  <w:noWrap w:val="0"/>
                  <w:vAlign w:val="center"/>
                </w:tcPr>
                <w:p w14:paraId="5F32806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w:t>
                  </w:r>
                </w:p>
              </w:tc>
              <w:tc>
                <w:tcPr>
                  <w:tcW w:w="780" w:type="pct"/>
                  <w:tcBorders>
                    <w:tl2br w:val="nil"/>
                    <w:tr2bl w:val="nil"/>
                  </w:tcBorders>
                  <w:noWrap w:val="0"/>
                  <w:vAlign w:val="center"/>
                </w:tcPr>
                <w:p w14:paraId="30FCAF70">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0.602</w:t>
                  </w:r>
                </w:p>
              </w:tc>
              <w:tc>
                <w:tcPr>
                  <w:tcW w:w="780" w:type="pct"/>
                  <w:tcBorders>
                    <w:tl2br w:val="nil"/>
                    <w:tr2bl w:val="nil"/>
                  </w:tcBorders>
                  <w:noWrap w:val="0"/>
                  <w:vAlign w:val="center"/>
                </w:tcPr>
                <w:p w14:paraId="4A788E0A">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0.338</w:t>
                  </w:r>
                </w:p>
              </w:tc>
              <w:tc>
                <w:tcPr>
                  <w:tcW w:w="773" w:type="pct"/>
                  <w:tcBorders>
                    <w:tl2br w:val="nil"/>
                    <w:tr2bl w:val="nil"/>
                  </w:tcBorders>
                  <w:noWrap w:val="0"/>
                  <w:vAlign w:val="center"/>
                </w:tcPr>
                <w:p w14:paraId="0C2C0FF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0.247</w:t>
                  </w:r>
                </w:p>
              </w:tc>
              <w:tc>
                <w:tcPr>
                  <w:tcW w:w="786" w:type="pct"/>
                  <w:tcBorders>
                    <w:tl2br w:val="nil"/>
                    <w:tr2bl w:val="nil"/>
                  </w:tcBorders>
                  <w:noWrap w:val="0"/>
                  <w:vAlign w:val="center"/>
                </w:tcPr>
                <w:p w14:paraId="18C0770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0.160</w:t>
                  </w:r>
                </w:p>
              </w:tc>
            </w:tr>
            <w:tr w14:paraId="0C53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3" w:type="pct"/>
                  <w:gridSpan w:val="2"/>
                  <w:tcBorders>
                    <w:tl2br w:val="nil"/>
                    <w:tr2bl w:val="nil"/>
                  </w:tcBorders>
                  <w:noWrap w:val="0"/>
                  <w:vAlign w:val="center"/>
                </w:tcPr>
                <w:p w14:paraId="1E59A12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标准限值</w:t>
                  </w:r>
                </w:p>
              </w:tc>
              <w:tc>
                <w:tcPr>
                  <w:tcW w:w="746" w:type="pct"/>
                  <w:tcBorders>
                    <w:tl2br w:val="nil"/>
                    <w:tr2bl w:val="nil"/>
                  </w:tcBorders>
                  <w:noWrap w:val="0"/>
                  <w:vAlign w:val="center"/>
                </w:tcPr>
                <w:p w14:paraId="3423DB9E">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0" w:type="pct"/>
                  <w:tcBorders>
                    <w:tl2br w:val="nil"/>
                    <w:tr2bl w:val="nil"/>
                  </w:tcBorders>
                  <w:noWrap w:val="0"/>
                  <w:vAlign w:val="center"/>
                </w:tcPr>
                <w:p w14:paraId="7DD63BE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0" w:type="pct"/>
                  <w:tcBorders>
                    <w:tl2br w:val="nil"/>
                    <w:tr2bl w:val="nil"/>
                  </w:tcBorders>
                  <w:noWrap w:val="0"/>
                  <w:vAlign w:val="center"/>
                </w:tcPr>
                <w:p w14:paraId="7C57D50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1.0</w:t>
                  </w:r>
                </w:p>
              </w:tc>
              <w:tc>
                <w:tcPr>
                  <w:tcW w:w="773" w:type="pct"/>
                  <w:tcBorders>
                    <w:tl2br w:val="nil"/>
                    <w:tr2bl w:val="nil"/>
                  </w:tcBorders>
                  <w:noWrap w:val="0"/>
                  <w:vAlign w:val="center"/>
                </w:tcPr>
                <w:p w14:paraId="3B052C4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6" w:type="pct"/>
                  <w:tcBorders>
                    <w:tl2br w:val="nil"/>
                    <w:tr2bl w:val="nil"/>
                  </w:tcBorders>
                  <w:noWrap w:val="0"/>
                  <w:vAlign w:val="center"/>
                </w:tcPr>
                <w:p w14:paraId="4D197451">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0.4</w:t>
                  </w:r>
                </w:p>
              </w:tc>
            </w:tr>
            <w:tr w14:paraId="2DF6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3" w:type="pct"/>
                  <w:gridSpan w:val="2"/>
                  <w:tcBorders>
                    <w:tl2br w:val="nil"/>
                    <w:tr2bl w:val="nil"/>
                  </w:tcBorders>
                  <w:noWrap w:val="0"/>
                  <w:vAlign w:val="center"/>
                </w:tcPr>
                <w:p w14:paraId="3FB519ED">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达标情况</w:t>
                  </w:r>
                </w:p>
              </w:tc>
              <w:tc>
                <w:tcPr>
                  <w:tcW w:w="746" w:type="pct"/>
                  <w:tcBorders>
                    <w:tl2br w:val="nil"/>
                    <w:tr2bl w:val="nil"/>
                  </w:tcBorders>
                  <w:noWrap w:val="0"/>
                  <w:vAlign w:val="center"/>
                </w:tcPr>
                <w:p w14:paraId="06CA6BC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0" w:type="pct"/>
                  <w:tcBorders>
                    <w:tl2br w:val="nil"/>
                    <w:tr2bl w:val="nil"/>
                  </w:tcBorders>
                  <w:noWrap w:val="0"/>
                  <w:vAlign w:val="center"/>
                </w:tcPr>
                <w:p w14:paraId="01C7F70B">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0" w:type="pct"/>
                  <w:tcBorders>
                    <w:tl2br w:val="nil"/>
                    <w:tr2bl w:val="nil"/>
                  </w:tcBorders>
                  <w:noWrap w:val="0"/>
                  <w:vAlign w:val="center"/>
                </w:tcPr>
                <w:p w14:paraId="6FCD05A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达标</w:t>
                  </w:r>
                </w:p>
              </w:tc>
              <w:tc>
                <w:tcPr>
                  <w:tcW w:w="773" w:type="pct"/>
                  <w:tcBorders>
                    <w:tl2br w:val="nil"/>
                    <w:tr2bl w:val="nil"/>
                  </w:tcBorders>
                  <w:noWrap w:val="0"/>
                  <w:vAlign w:val="center"/>
                </w:tcPr>
                <w:p w14:paraId="3892FBD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86" w:type="pct"/>
                  <w:tcBorders>
                    <w:tl2br w:val="nil"/>
                    <w:tr2bl w:val="nil"/>
                  </w:tcBorders>
                  <w:noWrap w:val="0"/>
                  <w:vAlign w:val="center"/>
                </w:tcPr>
                <w:p w14:paraId="5DEB05D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达标</w:t>
                  </w:r>
                </w:p>
              </w:tc>
            </w:tr>
          </w:tbl>
          <w:p w14:paraId="711EBFA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cs="Times New Roman"/>
                <w:bCs/>
                <w:color w:val="auto"/>
                <w:kern w:val="2"/>
                <w:sz w:val="24"/>
                <w:szCs w:val="24"/>
                <w:highlight w:val="none"/>
                <w:lang w:val="en-US" w:eastAsia="zh-CN" w:bidi="ar-SA"/>
              </w:rPr>
            </w:pPr>
            <w:r>
              <w:rPr>
                <w:rFonts w:hint="eastAsia" w:cs="Times New Roman"/>
                <w:bCs/>
                <w:color w:val="auto"/>
                <w:kern w:val="2"/>
                <w:sz w:val="24"/>
                <w:szCs w:val="24"/>
                <w:highlight w:val="none"/>
                <w:lang w:val="en-US" w:eastAsia="zh-CN" w:bidi="ar-SA"/>
              </w:rPr>
              <w:t>由监测结果可知，主井工业场地厂界无组织颗粒物、二氧化硫排放浓度均满足《煤炭工业污染物排放标准》（GB20426-2006）中标准限值要求。</w:t>
            </w:r>
          </w:p>
          <w:p w14:paraId="0E4C8C5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2.固体废物</w:t>
            </w:r>
          </w:p>
          <w:p w14:paraId="2AD457B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bCs/>
                <w:color w:val="auto"/>
                <w:spacing w:val="0"/>
                <w:sz w:val="24"/>
                <w:szCs w:val="24"/>
                <w:highlight w:val="none"/>
                <w:lang w:val="en-US" w:eastAsia="zh-CN"/>
              </w:rPr>
              <w:t>现有工程产生的固体废物主要为</w:t>
            </w:r>
            <w:r>
              <w:rPr>
                <w:rFonts w:hint="eastAsia" w:cs="Times New Roman"/>
                <w:bCs/>
                <w:color w:val="auto"/>
                <w:spacing w:val="0"/>
                <w:sz w:val="24"/>
                <w:szCs w:val="24"/>
                <w:highlight w:val="none"/>
                <w:lang w:val="en-US" w:eastAsia="zh-CN"/>
              </w:rPr>
              <w:t>软化水制备设备产生的废离子交换树脂，由厂家定期更换后回收</w:t>
            </w:r>
            <w:r>
              <w:rPr>
                <w:rFonts w:hint="eastAsia" w:ascii="Times New Roman" w:hAnsi="Times New Roman" w:eastAsia="宋体" w:cs="Times New Roman"/>
                <w:color w:val="auto"/>
                <w:sz w:val="24"/>
                <w:szCs w:val="24"/>
                <w:lang w:val="en-US" w:eastAsia="zh-CN"/>
              </w:rPr>
              <w:t>。</w:t>
            </w:r>
          </w:p>
          <w:p w14:paraId="26856B5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3.噪声</w:t>
            </w:r>
          </w:p>
          <w:p w14:paraId="5F3FBD1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本次评价</w:t>
            </w:r>
            <w:r>
              <w:rPr>
                <w:rFonts w:hint="eastAsia" w:cs="Times New Roman"/>
                <w:bCs/>
                <w:color w:val="auto"/>
                <w:spacing w:val="0"/>
                <w:sz w:val="24"/>
                <w:szCs w:val="24"/>
                <w:highlight w:val="none"/>
                <w:lang w:val="en-US" w:eastAsia="zh-CN"/>
              </w:rPr>
              <w:t>厂界噪声</w:t>
            </w:r>
            <w:r>
              <w:rPr>
                <w:rFonts w:hint="eastAsia" w:ascii="Times New Roman" w:hAnsi="Times New Roman" w:eastAsia="宋体" w:cs="Times New Roman"/>
                <w:bCs/>
                <w:color w:val="auto"/>
                <w:spacing w:val="0"/>
                <w:sz w:val="24"/>
                <w:szCs w:val="24"/>
                <w:highlight w:val="none"/>
                <w:lang w:val="en-US" w:eastAsia="zh-CN"/>
              </w:rPr>
              <w:t>监测结果引用202</w:t>
            </w:r>
            <w:r>
              <w:rPr>
                <w:rFonts w:hint="eastAsia" w:cs="Times New Roman"/>
                <w:bCs/>
                <w:color w:val="auto"/>
                <w:spacing w:val="0"/>
                <w:sz w:val="24"/>
                <w:szCs w:val="24"/>
                <w:highlight w:val="none"/>
                <w:lang w:val="en-US" w:eastAsia="zh-CN"/>
              </w:rPr>
              <w:t>6</w:t>
            </w:r>
            <w:r>
              <w:rPr>
                <w:rFonts w:hint="eastAsia" w:ascii="Times New Roman" w:hAnsi="Times New Roman" w:eastAsia="宋体" w:cs="Times New Roman"/>
                <w:bCs/>
                <w:color w:val="auto"/>
                <w:spacing w:val="0"/>
                <w:sz w:val="24"/>
                <w:szCs w:val="24"/>
                <w:highlight w:val="none"/>
                <w:lang w:val="en-US" w:eastAsia="zh-CN"/>
              </w:rPr>
              <w:t>年</w:t>
            </w:r>
            <w:r>
              <w:rPr>
                <w:rFonts w:hint="eastAsia" w:cs="Times New Roman"/>
                <w:bCs/>
                <w:color w:val="auto"/>
                <w:spacing w:val="0"/>
                <w:sz w:val="24"/>
                <w:szCs w:val="24"/>
                <w:highlight w:val="none"/>
                <w:lang w:val="en-US" w:eastAsia="zh-CN"/>
              </w:rPr>
              <w:t>2</w:t>
            </w:r>
            <w:r>
              <w:rPr>
                <w:rFonts w:hint="eastAsia" w:ascii="Times New Roman" w:hAnsi="Times New Roman" w:eastAsia="宋体" w:cs="Times New Roman"/>
                <w:bCs/>
                <w:color w:val="auto"/>
                <w:spacing w:val="0"/>
                <w:sz w:val="24"/>
                <w:szCs w:val="24"/>
                <w:highlight w:val="none"/>
                <w:lang w:val="en-US" w:eastAsia="zh-CN"/>
              </w:rPr>
              <w:t>月</w:t>
            </w:r>
            <w:r>
              <w:rPr>
                <w:rFonts w:hint="eastAsia" w:cs="Times New Roman"/>
                <w:bCs/>
                <w:color w:val="auto"/>
                <w:spacing w:val="0"/>
                <w:sz w:val="24"/>
                <w:szCs w:val="24"/>
                <w:highlight w:val="none"/>
                <w:lang w:val="en-US" w:eastAsia="zh-CN"/>
              </w:rPr>
              <w:t>10</w:t>
            </w:r>
            <w:r>
              <w:rPr>
                <w:rFonts w:hint="eastAsia" w:ascii="Times New Roman" w:hAnsi="Times New Roman" w:eastAsia="宋体" w:cs="Times New Roman"/>
                <w:bCs/>
                <w:color w:val="auto"/>
                <w:spacing w:val="0"/>
                <w:sz w:val="24"/>
                <w:szCs w:val="24"/>
                <w:highlight w:val="none"/>
                <w:lang w:val="en-US" w:eastAsia="zh-CN"/>
              </w:rPr>
              <w:t>日</w:t>
            </w:r>
            <w:r>
              <w:rPr>
                <w:rFonts w:hint="default" w:ascii="Times New Roman" w:hAnsi="Times New Roman" w:eastAsia="宋体" w:cs="Times New Roman"/>
                <w:bCs/>
                <w:color w:val="auto"/>
                <w:spacing w:val="0"/>
                <w:sz w:val="24"/>
                <w:szCs w:val="24"/>
                <w:highlight w:val="none"/>
                <w:lang w:val="en-US" w:eastAsia="zh-CN"/>
              </w:rPr>
              <w:t>由山西</w:t>
            </w:r>
            <w:r>
              <w:rPr>
                <w:rFonts w:hint="eastAsia" w:ascii="Times New Roman" w:hAnsi="Times New Roman" w:eastAsia="宋体" w:cs="Times New Roman"/>
                <w:bCs/>
                <w:color w:val="auto"/>
                <w:spacing w:val="0"/>
                <w:sz w:val="24"/>
                <w:szCs w:val="24"/>
                <w:highlight w:val="none"/>
                <w:lang w:val="en-US" w:eastAsia="zh-CN"/>
              </w:rPr>
              <w:t>华益检测科技</w:t>
            </w:r>
            <w:r>
              <w:rPr>
                <w:rFonts w:hint="default" w:ascii="Times New Roman" w:hAnsi="Times New Roman" w:eastAsia="宋体" w:cs="Times New Roman"/>
                <w:bCs/>
                <w:color w:val="auto"/>
                <w:spacing w:val="0"/>
                <w:sz w:val="24"/>
                <w:szCs w:val="24"/>
                <w:highlight w:val="none"/>
                <w:lang w:val="en-US" w:eastAsia="zh-CN"/>
              </w:rPr>
              <w:t>有限公司出具的《</w:t>
            </w:r>
            <w:r>
              <w:rPr>
                <w:rFonts w:hint="eastAsia" w:ascii="Times New Roman" w:hAnsi="Times New Roman" w:eastAsia="宋体" w:cs="Times New Roman"/>
                <w:bCs/>
                <w:color w:val="auto"/>
                <w:spacing w:val="0"/>
                <w:sz w:val="24"/>
                <w:szCs w:val="24"/>
                <w:highlight w:val="none"/>
                <w:lang w:val="en-US" w:eastAsia="zh-CN"/>
              </w:rPr>
              <w:t>山西晋煤集团赵庄煤业有限责任公司自行监测（第</w:t>
            </w:r>
            <w:r>
              <w:rPr>
                <w:rFonts w:hint="eastAsia" w:cs="Times New Roman"/>
                <w:bCs/>
                <w:color w:val="auto"/>
                <w:spacing w:val="0"/>
                <w:sz w:val="24"/>
                <w:szCs w:val="24"/>
                <w:highlight w:val="none"/>
                <w:lang w:val="en-US" w:eastAsia="zh-CN"/>
              </w:rPr>
              <w:t>一</w:t>
            </w:r>
            <w:r>
              <w:rPr>
                <w:rFonts w:hint="eastAsia" w:ascii="Times New Roman" w:hAnsi="Times New Roman" w:eastAsia="宋体" w:cs="Times New Roman"/>
                <w:bCs/>
                <w:color w:val="auto"/>
                <w:spacing w:val="0"/>
                <w:sz w:val="24"/>
                <w:szCs w:val="24"/>
                <w:highlight w:val="none"/>
                <w:lang w:val="en-US" w:eastAsia="zh-CN"/>
              </w:rPr>
              <w:t>季度无组织+噪声）</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SXHYJC-2</w:t>
            </w:r>
            <w:r>
              <w:rPr>
                <w:rFonts w:hint="eastAsia" w:cs="Times New Roman"/>
                <w:bCs/>
                <w:color w:val="auto"/>
                <w:spacing w:val="0"/>
                <w:sz w:val="24"/>
                <w:szCs w:val="24"/>
                <w:highlight w:val="none"/>
                <w:lang w:val="en-US" w:eastAsia="zh-CN"/>
              </w:rPr>
              <w:t>6</w:t>
            </w:r>
            <w:r>
              <w:rPr>
                <w:rFonts w:hint="eastAsia" w:ascii="Times New Roman" w:hAnsi="Times New Roman" w:eastAsia="宋体" w:cs="Times New Roman"/>
                <w:bCs/>
                <w:color w:val="auto"/>
                <w:spacing w:val="0"/>
                <w:sz w:val="24"/>
                <w:szCs w:val="24"/>
                <w:highlight w:val="none"/>
                <w:lang w:val="en-US" w:eastAsia="zh-CN"/>
              </w:rPr>
              <w:t>0</w:t>
            </w:r>
            <w:r>
              <w:rPr>
                <w:rFonts w:hint="eastAsia" w:cs="Times New Roman"/>
                <w:bCs/>
                <w:color w:val="auto"/>
                <w:spacing w:val="0"/>
                <w:sz w:val="24"/>
                <w:szCs w:val="24"/>
                <w:highlight w:val="none"/>
                <w:lang w:val="en-US" w:eastAsia="zh-CN"/>
              </w:rPr>
              <w:t>1</w:t>
            </w:r>
            <w:r>
              <w:rPr>
                <w:rFonts w:hint="eastAsia" w:ascii="Times New Roman" w:hAnsi="Times New Roman" w:eastAsia="宋体" w:cs="Times New Roman"/>
                <w:bCs/>
                <w:color w:val="auto"/>
                <w:spacing w:val="0"/>
                <w:sz w:val="24"/>
                <w:szCs w:val="24"/>
                <w:highlight w:val="none"/>
                <w:lang w:val="en-US" w:eastAsia="zh-CN"/>
              </w:rPr>
              <w:t>-</w:t>
            </w:r>
            <w:r>
              <w:rPr>
                <w:rFonts w:hint="eastAsia" w:cs="Times New Roman"/>
                <w:bCs/>
                <w:color w:val="auto"/>
                <w:spacing w:val="0"/>
                <w:sz w:val="24"/>
                <w:szCs w:val="24"/>
                <w:highlight w:val="none"/>
                <w:lang w:val="en-US" w:eastAsia="zh-CN"/>
              </w:rPr>
              <w:t>053</w:t>
            </w:r>
            <w:r>
              <w:rPr>
                <w:rFonts w:hint="default" w:ascii="Times New Roman" w:hAnsi="Times New Roman" w:eastAsia="宋体" w:cs="Times New Roman"/>
                <w:bCs/>
                <w:color w:val="auto"/>
                <w:spacing w:val="0"/>
                <w:sz w:val="24"/>
                <w:szCs w:val="24"/>
                <w:highlight w:val="none"/>
                <w:lang w:val="en-US" w:eastAsia="zh-CN"/>
              </w:rPr>
              <w:t>）</w:t>
            </w:r>
            <w:r>
              <w:rPr>
                <w:rFonts w:hint="eastAsia" w:ascii="Times New Roman" w:hAnsi="Times New Roman" w:eastAsia="宋体" w:cs="Times New Roman"/>
                <w:bCs/>
                <w:color w:val="auto"/>
                <w:spacing w:val="0"/>
                <w:sz w:val="24"/>
                <w:szCs w:val="24"/>
                <w:highlight w:val="none"/>
                <w:lang w:val="en-US" w:eastAsia="zh-CN"/>
              </w:rPr>
              <w:t>中的数据。</w:t>
            </w:r>
          </w:p>
          <w:p w14:paraId="2CF4018C">
            <w:pPr>
              <w:keepNext w:val="0"/>
              <w:keepLines w:val="0"/>
              <w:pageBreakBefore w:val="0"/>
              <w:widowControl w:val="0"/>
              <w:kinsoku/>
              <w:wordWrap/>
              <w:overflowPunct/>
              <w:topLinePunct w:val="0"/>
              <w:autoSpaceDE/>
              <w:autoSpaceDN/>
              <w:bidi w:val="0"/>
              <w:adjustRightInd/>
              <w:snapToGrid/>
              <w:spacing w:before="0" w:after="0" w:line="480" w:lineRule="exact"/>
              <w:ind w:firstLine="0" w:firstLineChars="0"/>
              <w:jc w:val="right"/>
              <w:textAlignment w:val="baseline"/>
              <w:rPr>
                <w:rFonts w:hint="default" w:ascii="Times New Roman" w:hAnsi="Times New Roman" w:eastAsia="宋体" w:cs="Times New Roman"/>
                <w:b/>
                <w:bCs/>
                <w:iCs/>
                <w:snapToGrid w:val="0"/>
                <w:color w:val="auto"/>
                <w:spacing w:val="0"/>
                <w:kern w:val="0"/>
                <w:sz w:val="24"/>
                <w:szCs w:val="24"/>
                <w:highlight w:val="none"/>
                <w:lang w:val="en-US" w:eastAsia="zh-CN" w:bidi="ar-SA"/>
              </w:rPr>
            </w:pPr>
            <w:r>
              <w:rPr>
                <w:rFonts w:hint="default" w:ascii="Times New Roman" w:hAnsi="Times New Roman" w:eastAsia="黑体" w:cs="Times New Roman"/>
                <w:color w:val="auto"/>
                <w:kern w:val="0"/>
                <w:sz w:val="21"/>
                <w:szCs w:val="21"/>
                <w:lang w:val="en-US" w:eastAsia="zh-CN" w:bidi="ar-SA"/>
              </w:rPr>
              <w:t>表</w:t>
            </w:r>
            <w:r>
              <w:rPr>
                <w:rFonts w:hint="eastAsia" w:eastAsia="黑体" w:cs="Times New Roman"/>
                <w:color w:val="auto"/>
                <w:kern w:val="0"/>
                <w:sz w:val="21"/>
                <w:szCs w:val="21"/>
                <w:lang w:val="en-US" w:eastAsia="zh-CN" w:bidi="ar-SA"/>
              </w:rPr>
              <w:t>2.11-5</w:t>
            </w:r>
            <w:r>
              <w:rPr>
                <w:rFonts w:hint="default" w:ascii="Times New Roman" w:hAnsi="Times New Roman" w:eastAsia="黑体" w:cs="Times New Roman"/>
                <w:color w:val="auto"/>
                <w:kern w:val="0"/>
                <w:sz w:val="21"/>
                <w:szCs w:val="21"/>
                <w:lang w:val="en-US" w:eastAsia="zh-CN" w:bidi="ar-SA"/>
              </w:rPr>
              <w:t xml:space="preserve">  </w:t>
            </w:r>
            <w:r>
              <w:rPr>
                <w:rFonts w:hint="eastAsia" w:ascii="Times New Roman" w:hAnsi="Times New Roman" w:eastAsia="黑体" w:cs="Times New Roman"/>
                <w:color w:val="auto"/>
                <w:kern w:val="0"/>
                <w:sz w:val="21"/>
                <w:szCs w:val="21"/>
                <w:lang w:val="en-US" w:eastAsia="zh-CN" w:bidi="ar-SA"/>
              </w:rPr>
              <w:t xml:space="preserve"> </w:t>
            </w:r>
            <w:r>
              <w:rPr>
                <w:rFonts w:hint="eastAsia" w:eastAsia="黑体" w:cs="Times New Roman"/>
                <w:color w:val="auto"/>
                <w:kern w:val="0"/>
                <w:sz w:val="21"/>
                <w:szCs w:val="21"/>
                <w:lang w:val="en-US" w:eastAsia="zh-CN" w:bidi="ar-SA"/>
              </w:rPr>
              <w:t>主井工业场地</w:t>
            </w:r>
            <w:r>
              <w:rPr>
                <w:rFonts w:hint="eastAsia" w:ascii="Times New Roman" w:hAnsi="Times New Roman" w:eastAsia="黑体" w:cs="Times New Roman"/>
                <w:color w:val="auto"/>
                <w:kern w:val="0"/>
                <w:sz w:val="21"/>
                <w:szCs w:val="21"/>
                <w:lang w:val="en-US" w:eastAsia="zh-CN" w:bidi="ar-SA"/>
              </w:rPr>
              <w:t>厂界噪声</w:t>
            </w:r>
            <w:r>
              <w:rPr>
                <w:rFonts w:hint="default" w:ascii="Times New Roman" w:hAnsi="Times New Roman" w:eastAsia="黑体" w:cs="Times New Roman"/>
                <w:color w:val="auto"/>
                <w:kern w:val="0"/>
                <w:sz w:val="21"/>
                <w:szCs w:val="21"/>
                <w:lang w:val="en-US" w:eastAsia="zh-CN" w:bidi="ar-SA"/>
              </w:rPr>
              <w:t>监测结果</w:t>
            </w:r>
            <w:r>
              <w:rPr>
                <w:rFonts w:hint="eastAsia" w:ascii="Times New Roman" w:hAnsi="Times New Roman" w:eastAsia="黑体" w:cs="Times New Roman"/>
                <w:color w:val="auto"/>
                <w:kern w:val="0"/>
                <w:sz w:val="21"/>
                <w:szCs w:val="21"/>
                <w:lang w:val="en-US" w:eastAsia="zh-CN" w:bidi="ar-SA"/>
              </w:rPr>
              <w:t xml:space="preserve">        单位：dB（A）</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2"/>
              <w:gridCol w:w="2718"/>
              <w:gridCol w:w="1126"/>
              <w:gridCol w:w="1394"/>
              <w:gridCol w:w="1351"/>
            </w:tblGrid>
            <w:tr w14:paraId="2EA6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77" w:type="pct"/>
                  <w:vMerge w:val="restart"/>
                  <w:tcBorders>
                    <w:tl2br w:val="nil"/>
                    <w:tr2bl w:val="nil"/>
                  </w:tcBorders>
                  <w:noWrap w:val="0"/>
                  <w:vAlign w:val="center"/>
                </w:tcPr>
                <w:p w14:paraId="53BABD5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监测日期</w:t>
                  </w:r>
                </w:p>
              </w:tc>
              <w:tc>
                <w:tcPr>
                  <w:tcW w:w="1700" w:type="pct"/>
                  <w:vMerge w:val="restart"/>
                  <w:tcBorders>
                    <w:tl2br w:val="nil"/>
                    <w:tr2bl w:val="nil"/>
                  </w:tcBorders>
                  <w:noWrap w:val="0"/>
                  <w:vAlign w:val="center"/>
                </w:tcPr>
                <w:p w14:paraId="5C6E39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监测点位</w:t>
                  </w:r>
                </w:p>
              </w:tc>
              <w:tc>
                <w:tcPr>
                  <w:tcW w:w="704" w:type="pct"/>
                  <w:vMerge w:val="restart"/>
                  <w:tcBorders>
                    <w:tl2br w:val="nil"/>
                    <w:tr2bl w:val="nil"/>
                  </w:tcBorders>
                  <w:noWrap w:val="0"/>
                  <w:vAlign w:val="center"/>
                </w:tcPr>
                <w:p w14:paraId="4151E7F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监测项目</w:t>
                  </w:r>
                </w:p>
              </w:tc>
              <w:tc>
                <w:tcPr>
                  <w:tcW w:w="1717" w:type="pct"/>
                  <w:gridSpan w:val="2"/>
                  <w:tcBorders>
                    <w:tl2br w:val="nil"/>
                    <w:tr2bl w:val="nil"/>
                  </w:tcBorders>
                  <w:noWrap w:val="0"/>
                  <w:vAlign w:val="center"/>
                </w:tcPr>
                <w:p w14:paraId="74AC4A1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监测结果</w:t>
                  </w:r>
                </w:p>
              </w:tc>
            </w:tr>
            <w:tr w14:paraId="65574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877" w:type="pct"/>
                  <w:vMerge w:val="continue"/>
                  <w:tcBorders>
                    <w:tl2br w:val="nil"/>
                    <w:tr2bl w:val="nil"/>
                  </w:tcBorders>
                  <w:noWrap w:val="0"/>
                  <w:vAlign w:val="center"/>
                </w:tcPr>
                <w:p w14:paraId="6C585E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1700" w:type="pct"/>
                  <w:vMerge w:val="continue"/>
                  <w:tcBorders>
                    <w:tl2br w:val="nil"/>
                    <w:tr2bl w:val="nil"/>
                  </w:tcBorders>
                  <w:noWrap w:val="0"/>
                  <w:vAlign w:val="center"/>
                </w:tcPr>
                <w:p w14:paraId="7900E74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704" w:type="pct"/>
                  <w:vMerge w:val="continue"/>
                  <w:tcBorders>
                    <w:tl2br w:val="nil"/>
                    <w:tr2bl w:val="nil"/>
                  </w:tcBorders>
                  <w:noWrap w:val="0"/>
                  <w:vAlign w:val="center"/>
                </w:tcPr>
                <w:p w14:paraId="7862BC7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p>
              </w:tc>
              <w:tc>
                <w:tcPr>
                  <w:tcW w:w="872" w:type="pct"/>
                  <w:tcBorders>
                    <w:tl2br w:val="nil"/>
                    <w:tr2bl w:val="nil"/>
                  </w:tcBorders>
                  <w:noWrap w:val="0"/>
                  <w:vAlign w:val="center"/>
                </w:tcPr>
                <w:p w14:paraId="6409A7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昼间</w:t>
                  </w:r>
                </w:p>
              </w:tc>
              <w:tc>
                <w:tcPr>
                  <w:tcW w:w="845" w:type="pct"/>
                  <w:tcBorders>
                    <w:tl2br w:val="nil"/>
                    <w:tr2bl w:val="nil"/>
                  </w:tcBorders>
                  <w:noWrap w:val="0"/>
                  <w:vAlign w:val="center"/>
                </w:tcPr>
                <w:p w14:paraId="36D8B13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夜间</w:t>
                  </w:r>
                </w:p>
              </w:tc>
            </w:tr>
            <w:tr w14:paraId="7893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restart"/>
                  <w:tcBorders>
                    <w:tl2br w:val="nil"/>
                    <w:tr2bl w:val="nil"/>
                  </w:tcBorders>
                  <w:noWrap w:val="0"/>
                  <w:vAlign w:val="center"/>
                </w:tcPr>
                <w:p w14:paraId="51ECCCB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2026.01.17</w:t>
                  </w:r>
                </w:p>
              </w:tc>
              <w:tc>
                <w:tcPr>
                  <w:tcW w:w="1700" w:type="pct"/>
                  <w:tcBorders>
                    <w:tl2br w:val="nil"/>
                    <w:tr2bl w:val="nil"/>
                  </w:tcBorders>
                  <w:noWrap w:val="0"/>
                  <w:vAlign w:val="center"/>
                </w:tcPr>
                <w:p w14:paraId="3CED1C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主井工业场地厂界1#</w:t>
                  </w:r>
                </w:p>
              </w:tc>
              <w:tc>
                <w:tcPr>
                  <w:tcW w:w="704" w:type="pct"/>
                  <w:tcBorders>
                    <w:tl2br w:val="nil"/>
                    <w:tr2bl w:val="nil"/>
                  </w:tcBorders>
                  <w:noWrap w:val="0"/>
                  <w:vAlign w:val="center"/>
                </w:tcPr>
                <w:p w14:paraId="395D2BA2">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662654C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54.3</w:t>
                  </w:r>
                </w:p>
              </w:tc>
              <w:tc>
                <w:tcPr>
                  <w:tcW w:w="845" w:type="pct"/>
                  <w:tcBorders>
                    <w:tl2br w:val="nil"/>
                    <w:tr2bl w:val="nil"/>
                  </w:tcBorders>
                  <w:noWrap w:val="0"/>
                  <w:vAlign w:val="center"/>
                </w:tcPr>
                <w:p w14:paraId="4444D5A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47.1</w:t>
                  </w:r>
                </w:p>
              </w:tc>
            </w:tr>
            <w:tr w14:paraId="4EBC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41A94B8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60CE0EF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主井工业场地厂界2#</w:t>
                  </w:r>
                </w:p>
              </w:tc>
              <w:tc>
                <w:tcPr>
                  <w:tcW w:w="704" w:type="pct"/>
                  <w:tcBorders>
                    <w:tl2br w:val="nil"/>
                    <w:tr2bl w:val="nil"/>
                  </w:tcBorders>
                  <w:noWrap w:val="0"/>
                  <w:vAlign w:val="center"/>
                </w:tcPr>
                <w:p w14:paraId="79DF823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2C6D588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55.0</w:t>
                  </w:r>
                </w:p>
              </w:tc>
              <w:tc>
                <w:tcPr>
                  <w:tcW w:w="845" w:type="pct"/>
                  <w:tcBorders>
                    <w:tl2br w:val="nil"/>
                    <w:tr2bl w:val="nil"/>
                  </w:tcBorders>
                  <w:noWrap w:val="0"/>
                  <w:vAlign w:val="center"/>
                </w:tcPr>
                <w:p w14:paraId="7BC806D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44.6</w:t>
                  </w:r>
                </w:p>
              </w:tc>
            </w:tr>
            <w:tr w14:paraId="5BC6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49DBBDA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20DEC1E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主井工业场地厂界3#</w:t>
                  </w:r>
                </w:p>
              </w:tc>
              <w:tc>
                <w:tcPr>
                  <w:tcW w:w="704" w:type="pct"/>
                  <w:tcBorders>
                    <w:tl2br w:val="nil"/>
                    <w:tr2bl w:val="nil"/>
                  </w:tcBorders>
                  <w:noWrap w:val="0"/>
                  <w:vAlign w:val="center"/>
                </w:tcPr>
                <w:p w14:paraId="3C1B7EE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1220DE8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56.3</w:t>
                  </w:r>
                </w:p>
              </w:tc>
              <w:tc>
                <w:tcPr>
                  <w:tcW w:w="845" w:type="pct"/>
                  <w:tcBorders>
                    <w:tl2br w:val="nil"/>
                    <w:tr2bl w:val="nil"/>
                  </w:tcBorders>
                  <w:noWrap w:val="0"/>
                  <w:vAlign w:val="center"/>
                </w:tcPr>
                <w:p w14:paraId="086555F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42.1</w:t>
                  </w:r>
                </w:p>
              </w:tc>
            </w:tr>
            <w:tr w14:paraId="3990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3A0FCA7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140BD3C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主井工业场地厂界4#</w:t>
                  </w:r>
                </w:p>
              </w:tc>
              <w:tc>
                <w:tcPr>
                  <w:tcW w:w="704" w:type="pct"/>
                  <w:tcBorders>
                    <w:tl2br w:val="nil"/>
                    <w:tr2bl w:val="nil"/>
                  </w:tcBorders>
                  <w:noWrap w:val="0"/>
                  <w:vAlign w:val="center"/>
                </w:tcPr>
                <w:p w14:paraId="248064C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5CA38EC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54.7</w:t>
                  </w:r>
                </w:p>
              </w:tc>
              <w:tc>
                <w:tcPr>
                  <w:tcW w:w="845" w:type="pct"/>
                  <w:tcBorders>
                    <w:tl2br w:val="nil"/>
                    <w:tr2bl w:val="nil"/>
                  </w:tcBorders>
                  <w:noWrap w:val="0"/>
                  <w:vAlign w:val="center"/>
                </w:tcPr>
                <w:p w14:paraId="7762273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41.3</w:t>
                  </w:r>
                </w:p>
              </w:tc>
            </w:tr>
            <w:tr w14:paraId="14EF1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03A31A7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3EC9379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主井工业场地厂界5#</w:t>
                  </w:r>
                </w:p>
              </w:tc>
              <w:tc>
                <w:tcPr>
                  <w:tcW w:w="704" w:type="pct"/>
                  <w:tcBorders>
                    <w:tl2br w:val="nil"/>
                    <w:tr2bl w:val="nil"/>
                  </w:tcBorders>
                  <w:noWrap w:val="0"/>
                  <w:vAlign w:val="center"/>
                </w:tcPr>
                <w:p w14:paraId="5D29CD3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35788AB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55.9</w:t>
                  </w:r>
                </w:p>
              </w:tc>
              <w:tc>
                <w:tcPr>
                  <w:tcW w:w="845" w:type="pct"/>
                  <w:tcBorders>
                    <w:tl2br w:val="nil"/>
                    <w:tr2bl w:val="nil"/>
                  </w:tcBorders>
                  <w:noWrap w:val="0"/>
                  <w:vAlign w:val="center"/>
                </w:tcPr>
                <w:p w14:paraId="357E94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38.3</w:t>
                  </w:r>
                </w:p>
              </w:tc>
            </w:tr>
            <w:tr w14:paraId="52EE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5BF593C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09CFF3B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主井工业场地厂界6#</w:t>
                  </w:r>
                </w:p>
              </w:tc>
              <w:tc>
                <w:tcPr>
                  <w:tcW w:w="704" w:type="pct"/>
                  <w:tcBorders>
                    <w:tl2br w:val="nil"/>
                    <w:tr2bl w:val="nil"/>
                  </w:tcBorders>
                  <w:noWrap w:val="0"/>
                  <w:vAlign w:val="center"/>
                </w:tcPr>
                <w:p w14:paraId="093FF42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1DBA2AD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56.3</w:t>
                  </w:r>
                </w:p>
              </w:tc>
              <w:tc>
                <w:tcPr>
                  <w:tcW w:w="845" w:type="pct"/>
                  <w:tcBorders>
                    <w:tl2br w:val="nil"/>
                    <w:tr2bl w:val="nil"/>
                  </w:tcBorders>
                  <w:noWrap w:val="0"/>
                  <w:vAlign w:val="center"/>
                </w:tcPr>
                <w:p w14:paraId="093F7E8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40.1</w:t>
                  </w:r>
                </w:p>
              </w:tc>
            </w:tr>
            <w:tr w14:paraId="35AC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77" w:type="pct"/>
                  <w:vMerge w:val="continue"/>
                  <w:tcBorders>
                    <w:tl2br w:val="nil"/>
                    <w:tr2bl w:val="nil"/>
                  </w:tcBorders>
                  <w:noWrap w:val="0"/>
                  <w:vAlign w:val="center"/>
                </w:tcPr>
                <w:p w14:paraId="4D22BD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5BE5B6B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主井工业场地厂界7#</w:t>
                  </w:r>
                </w:p>
              </w:tc>
              <w:tc>
                <w:tcPr>
                  <w:tcW w:w="704" w:type="pct"/>
                  <w:tcBorders>
                    <w:tl2br w:val="nil"/>
                    <w:tr2bl w:val="nil"/>
                  </w:tcBorders>
                  <w:noWrap w:val="0"/>
                  <w:vAlign w:val="center"/>
                </w:tcPr>
                <w:p w14:paraId="02CCB60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5284BFE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57.5</w:t>
                  </w:r>
                </w:p>
              </w:tc>
              <w:tc>
                <w:tcPr>
                  <w:tcW w:w="845" w:type="pct"/>
                  <w:tcBorders>
                    <w:tl2br w:val="nil"/>
                    <w:tr2bl w:val="nil"/>
                  </w:tcBorders>
                  <w:noWrap w:val="0"/>
                  <w:vAlign w:val="center"/>
                </w:tcPr>
                <w:p w14:paraId="71082A2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42.0</w:t>
                  </w:r>
                </w:p>
              </w:tc>
            </w:tr>
            <w:tr w14:paraId="5931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77" w:type="pct"/>
                  <w:vMerge w:val="continue"/>
                  <w:tcBorders>
                    <w:tl2br w:val="nil"/>
                    <w:tr2bl w:val="nil"/>
                  </w:tcBorders>
                  <w:noWrap w:val="0"/>
                  <w:vAlign w:val="center"/>
                </w:tcPr>
                <w:p w14:paraId="552C8EA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p>
              </w:tc>
              <w:tc>
                <w:tcPr>
                  <w:tcW w:w="1700" w:type="pct"/>
                  <w:tcBorders>
                    <w:tl2br w:val="nil"/>
                    <w:tr2bl w:val="nil"/>
                  </w:tcBorders>
                  <w:noWrap w:val="0"/>
                  <w:vAlign w:val="center"/>
                </w:tcPr>
                <w:p w14:paraId="6F0C1C8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主井工业场地厂界8#</w:t>
                  </w:r>
                </w:p>
              </w:tc>
              <w:tc>
                <w:tcPr>
                  <w:tcW w:w="704" w:type="pct"/>
                  <w:tcBorders>
                    <w:tl2br w:val="nil"/>
                    <w:tr2bl w:val="nil"/>
                  </w:tcBorders>
                  <w:noWrap w:val="0"/>
                  <w:vAlign w:val="center"/>
                </w:tcPr>
                <w:p w14:paraId="5A84A08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Leq</w:t>
                  </w:r>
                </w:p>
              </w:tc>
              <w:tc>
                <w:tcPr>
                  <w:tcW w:w="872" w:type="pct"/>
                  <w:tcBorders>
                    <w:tl2br w:val="nil"/>
                    <w:tr2bl w:val="nil"/>
                  </w:tcBorders>
                  <w:noWrap w:val="0"/>
                  <w:vAlign w:val="center"/>
                </w:tcPr>
                <w:p w14:paraId="56CA445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55.5</w:t>
                  </w:r>
                </w:p>
              </w:tc>
              <w:tc>
                <w:tcPr>
                  <w:tcW w:w="845" w:type="pct"/>
                  <w:tcBorders>
                    <w:tl2br w:val="nil"/>
                    <w:tr2bl w:val="nil"/>
                  </w:tcBorders>
                  <w:noWrap w:val="0"/>
                  <w:vAlign w:val="center"/>
                </w:tcPr>
                <w:p w14:paraId="0759B24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38.3</w:t>
                  </w:r>
                </w:p>
              </w:tc>
            </w:tr>
            <w:tr w14:paraId="06DF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877" w:type="pct"/>
                  <w:tcBorders>
                    <w:tl2br w:val="nil"/>
                    <w:tr2bl w:val="nil"/>
                  </w:tcBorders>
                  <w:noWrap w:val="0"/>
                  <w:vAlign w:val="center"/>
                </w:tcPr>
                <w:p w14:paraId="48970FC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标准值</w:t>
                  </w:r>
                </w:p>
              </w:tc>
              <w:tc>
                <w:tcPr>
                  <w:tcW w:w="1700" w:type="pct"/>
                  <w:tcBorders>
                    <w:tl2br w:val="nil"/>
                    <w:tr2bl w:val="nil"/>
                  </w:tcBorders>
                  <w:noWrap w:val="0"/>
                  <w:vAlign w:val="center"/>
                </w:tcPr>
                <w:p w14:paraId="2AD4DBA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704" w:type="pct"/>
                  <w:tcBorders>
                    <w:tl2br w:val="nil"/>
                    <w:tr2bl w:val="nil"/>
                  </w:tcBorders>
                  <w:noWrap w:val="0"/>
                  <w:vAlign w:val="center"/>
                </w:tcPr>
                <w:p w14:paraId="47FB4B69">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cs="Times New Roman"/>
                      <w:b w:val="0"/>
                      <w:bCs/>
                      <w:color w:val="auto"/>
                      <w:kern w:val="2"/>
                      <w:sz w:val="21"/>
                      <w:szCs w:val="21"/>
                      <w:highlight w:val="none"/>
                      <w:vertAlign w:val="baseline"/>
                      <w:lang w:val="en-US" w:eastAsia="zh-CN" w:bidi="ar-SA"/>
                    </w:rPr>
                    <w:t>/</w:t>
                  </w:r>
                </w:p>
              </w:tc>
              <w:tc>
                <w:tcPr>
                  <w:tcW w:w="872" w:type="pct"/>
                  <w:tcBorders>
                    <w:tl2br w:val="nil"/>
                    <w:tr2bl w:val="nil"/>
                  </w:tcBorders>
                  <w:noWrap w:val="0"/>
                  <w:vAlign w:val="center"/>
                </w:tcPr>
                <w:p w14:paraId="76904EC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60</w:t>
                  </w:r>
                </w:p>
              </w:tc>
              <w:tc>
                <w:tcPr>
                  <w:tcW w:w="845" w:type="pct"/>
                  <w:tcBorders>
                    <w:tl2br w:val="nil"/>
                    <w:tr2bl w:val="nil"/>
                  </w:tcBorders>
                  <w:noWrap w:val="0"/>
                  <w:vAlign w:val="center"/>
                </w:tcPr>
                <w:p w14:paraId="47A5092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kern w:val="2"/>
                      <w:sz w:val="21"/>
                      <w:szCs w:val="21"/>
                      <w:highlight w:val="none"/>
                      <w:vertAlign w:val="baseline"/>
                      <w:lang w:val="en-US" w:eastAsia="zh-CN" w:bidi="ar-SA"/>
                    </w:rPr>
                  </w:pPr>
                  <w:r>
                    <w:rPr>
                      <w:rFonts w:hint="eastAsia" w:ascii="Times New Roman" w:hAnsi="Times New Roman" w:eastAsia="宋体" w:cs="Times New Roman"/>
                      <w:b w:val="0"/>
                      <w:bCs/>
                      <w:color w:val="auto"/>
                      <w:kern w:val="2"/>
                      <w:sz w:val="21"/>
                      <w:szCs w:val="21"/>
                      <w:highlight w:val="none"/>
                      <w:vertAlign w:val="baseline"/>
                      <w:lang w:val="en-US" w:eastAsia="zh-CN" w:bidi="ar-SA"/>
                    </w:rPr>
                    <w:t>50</w:t>
                  </w:r>
                </w:p>
              </w:tc>
            </w:tr>
          </w:tbl>
          <w:p w14:paraId="0D3CF16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根据监测结果可知，主井工业场地厂界噪声监测结果均符合《工业企业厂界环境噪声排放标准》（GB12348-2008）中的标准限值要求。</w:t>
            </w:r>
          </w:p>
          <w:p w14:paraId="5D27A2EC">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textAlignment w:val="auto"/>
              <w:rPr>
                <w:rFonts w:hint="eastAsia"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2.12 现有工程污染物排放总量</w:t>
            </w:r>
          </w:p>
          <w:p w14:paraId="2EA3759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201</w:t>
            </w:r>
            <w:r>
              <w:rPr>
                <w:rFonts w:hint="eastAsia" w:ascii="Times New Roman" w:hAnsi="Times New Roman" w:eastAsia="宋体" w:cs="Times New Roman"/>
                <w:b w:val="0"/>
                <w:bCs w:val="0"/>
                <w:color w:val="auto"/>
                <w:sz w:val="24"/>
                <w:lang w:val="en-US" w:eastAsia="zh-CN"/>
              </w:rPr>
              <w:t>1</w:t>
            </w:r>
            <w:r>
              <w:rPr>
                <w:rFonts w:hint="default" w:ascii="Times New Roman" w:hAnsi="Times New Roman" w:eastAsia="宋体" w:cs="Times New Roman"/>
                <w:b w:val="0"/>
                <w:bCs w:val="0"/>
                <w:color w:val="auto"/>
                <w:sz w:val="24"/>
                <w:lang w:val="en-US" w:eastAsia="zh-CN"/>
              </w:rPr>
              <w:t>年</w:t>
            </w:r>
            <w:r>
              <w:rPr>
                <w:rFonts w:hint="eastAsia" w:ascii="Times New Roman" w:hAnsi="Times New Roman" w:eastAsia="宋体" w:cs="Times New Roman"/>
                <w:b w:val="0"/>
                <w:bCs w:val="0"/>
                <w:color w:val="auto"/>
                <w:sz w:val="24"/>
                <w:lang w:val="en-US" w:eastAsia="zh-CN"/>
              </w:rPr>
              <w:t>7</w:t>
            </w:r>
            <w:r>
              <w:rPr>
                <w:rFonts w:hint="default" w:ascii="Times New Roman" w:hAnsi="Times New Roman" w:eastAsia="宋体" w:cs="Times New Roman"/>
                <w:b w:val="0"/>
                <w:bCs w:val="0"/>
                <w:color w:val="auto"/>
                <w:sz w:val="24"/>
                <w:lang w:val="en-US" w:eastAsia="zh-CN"/>
              </w:rPr>
              <w:t>月</w:t>
            </w:r>
            <w:r>
              <w:rPr>
                <w:rFonts w:hint="eastAsia" w:ascii="Times New Roman" w:hAnsi="Times New Roman" w:eastAsia="宋体" w:cs="Times New Roman"/>
                <w:b w:val="0"/>
                <w:bCs w:val="0"/>
                <w:color w:val="auto"/>
                <w:sz w:val="24"/>
                <w:lang w:val="en-US" w:eastAsia="zh-CN"/>
              </w:rPr>
              <w:t>6</w:t>
            </w:r>
            <w:r>
              <w:rPr>
                <w:rFonts w:hint="default" w:ascii="Times New Roman" w:hAnsi="Times New Roman" w:eastAsia="宋体" w:cs="Times New Roman"/>
                <w:b w:val="0"/>
                <w:bCs w:val="0"/>
                <w:color w:val="auto"/>
                <w:sz w:val="24"/>
                <w:lang w:val="en-US" w:eastAsia="zh-CN"/>
              </w:rPr>
              <w:t>日，原山西省环境保护厅以晋环函〔201</w:t>
            </w:r>
            <w:r>
              <w:rPr>
                <w:rFonts w:hint="eastAsia" w:ascii="Times New Roman" w:hAnsi="Times New Roman" w:eastAsia="宋体" w:cs="Times New Roman"/>
                <w:b w:val="0"/>
                <w:bCs w:val="0"/>
                <w:color w:val="auto"/>
                <w:sz w:val="24"/>
                <w:lang w:val="en-US" w:eastAsia="zh-CN"/>
              </w:rPr>
              <w:t>1</w:t>
            </w:r>
            <w:r>
              <w:rPr>
                <w:rFonts w:hint="default" w:ascii="Times New Roman" w:hAnsi="Times New Roman" w:eastAsia="宋体" w:cs="Times New Roman"/>
                <w:b w:val="0"/>
                <w:bCs w:val="0"/>
                <w:color w:val="auto"/>
                <w:sz w:val="24"/>
                <w:lang w:val="en-US" w:eastAsia="zh-CN"/>
              </w:rPr>
              <w:t>〕</w:t>
            </w:r>
            <w:r>
              <w:rPr>
                <w:rFonts w:hint="eastAsia" w:ascii="Times New Roman" w:hAnsi="Times New Roman" w:eastAsia="宋体" w:cs="Times New Roman"/>
                <w:b w:val="0"/>
                <w:bCs w:val="0"/>
                <w:color w:val="auto"/>
                <w:sz w:val="24"/>
                <w:lang w:val="en-US" w:eastAsia="zh-CN"/>
              </w:rPr>
              <w:t>1293</w:t>
            </w:r>
            <w:r>
              <w:rPr>
                <w:rFonts w:hint="default" w:ascii="Times New Roman" w:hAnsi="Times New Roman" w:eastAsia="宋体" w:cs="Times New Roman"/>
                <w:b w:val="0"/>
                <w:bCs w:val="0"/>
                <w:color w:val="auto"/>
                <w:sz w:val="24"/>
                <w:lang w:val="en-US" w:eastAsia="zh-CN"/>
              </w:rPr>
              <w:t>号文出具了《关于</w:t>
            </w:r>
            <w:r>
              <w:rPr>
                <w:rFonts w:hint="eastAsia" w:ascii="Times New Roman" w:hAnsi="Times New Roman" w:eastAsia="宋体" w:cs="Times New Roman"/>
                <w:b w:val="0"/>
                <w:bCs w:val="0"/>
                <w:color w:val="auto"/>
                <w:sz w:val="24"/>
                <w:lang w:val="en-US" w:eastAsia="zh-CN"/>
              </w:rPr>
              <w:t>山西晋煤集团赵庄煤业有限责任公司800万吨矿井扩能项目</w:t>
            </w:r>
            <w:r>
              <w:rPr>
                <w:rFonts w:hint="default" w:ascii="Times New Roman" w:hAnsi="Times New Roman" w:eastAsia="宋体" w:cs="Times New Roman"/>
                <w:b w:val="0"/>
                <w:bCs w:val="0"/>
                <w:color w:val="auto"/>
                <w:sz w:val="24"/>
                <w:lang w:val="en-US" w:eastAsia="zh-CN"/>
              </w:rPr>
              <w:t>污染物排放总量的函》，核定了污染物排放总量为：二氧化硫</w:t>
            </w:r>
            <w:r>
              <w:rPr>
                <w:rFonts w:hint="eastAsia" w:ascii="Times New Roman" w:hAnsi="Times New Roman" w:eastAsia="宋体" w:cs="Times New Roman"/>
                <w:b w:val="0"/>
                <w:bCs w:val="0"/>
                <w:color w:val="auto"/>
                <w:sz w:val="24"/>
                <w:lang w:val="en-US" w:eastAsia="zh-CN"/>
              </w:rPr>
              <w:t>45.44</w:t>
            </w:r>
            <w:r>
              <w:rPr>
                <w:rFonts w:hint="default" w:ascii="Times New Roman" w:hAnsi="Times New Roman" w:eastAsia="宋体" w:cs="Times New Roman"/>
                <w:b w:val="0"/>
                <w:bCs w:val="0"/>
                <w:color w:val="auto"/>
                <w:sz w:val="24"/>
                <w:lang w:val="en-US" w:eastAsia="zh-CN"/>
              </w:rPr>
              <w:t>吨/年，烟尘</w:t>
            </w:r>
            <w:r>
              <w:rPr>
                <w:rFonts w:hint="eastAsia" w:ascii="Times New Roman" w:hAnsi="Times New Roman" w:eastAsia="宋体" w:cs="Times New Roman"/>
                <w:b w:val="0"/>
                <w:bCs w:val="0"/>
                <w:color w:val="auto"/>
                <w:sz w:val="24"/>
                <w:lang w:val="en-US" w:eastAsia="zh-CN"/>
              </w:rPr>
              <w:t>37.7</w:t>
            </w:r>
            <w:r>
              <w:rPr>
                <w:rFonts w:hint="default" w:ascii="Times New Roman" w:hAnsi="Times New Roman" w:eastAsia="宋体" w:cs="Times New Roman"/>
                <w:b w:val="0"/>
                <w:bCs w:val="0"/>
                <w:color w:val="auto"/>
                <w:sz w:val="24"/>
                <w:lang w:val="en-US" w:eastAsia="zh-CN"/>
              </w:rPr>
              <w:t>吨/年</w:t>
            </w:r>
            <w:r>
              <w:rPr>
                <w:rFonts w:hint="eastAsia" w:ascii="Times New Roman" w:hAnsi="Times New Roman" w:eastAsia="宋体" w:cs="Times New Roman"/>
                <w:b w:val="0"/>
                <w:bCs w:val="0"/>
                <w:color w:val="auto"/>
                <w:sz w:val="24"/>
                <w:lang w:val="en-US" w:eastAsia="zh-CN"/>
              </w:rPr>
              <w:t>，粉尘30</w:t>
            </w:r>
            <w:r>
              <w:rPr>
                <w:rFonts w:hint="default" w:ascii="Times New Roman" w:hAnsi="Times New Roman" w:eastAsia="宋体" w:cs="Times New Roman"/>
                <w:b w:val="0"/>
                <w:bCs w:val="0"/>
                <w:color w:val="auto"/>
                <w:sz w:val="24"/>
                <w:lang w:val="en-US" w:eastAsia="zh-CN"/>
              </w:rPr>
              <w:t>吨/年</w:t>
            </w:r>
            <w:r>
              <w:rPr>
                <w:rFonts w:hint="eastAsia" w:ascii="Times New Roman" w:hAnsi="Times New Roman" w:eastAsia="宋体" w:cs="Times New Roman"/>
                <w:b w:val="0"/>
                <w:bCs w:val="0"/>
                <w:color w:val="auto"/>
                <w:sz w:val="24"/>
                <w:lang w:val="en-US" w:eastAsia="zh-CN"/>
              </w:rPr>
              <w:t>，化学需氧量43.8</w:t>
            </w:r>
            <w:r>
              <w:rPr>
                <w:rFonts w:hint="default" w:ascii="Times New Roman" w:hAnsi="Times New Roman" w:eastAsia="宋体" w:cs="Times New Roman"/>
                <w:b w:val="0"/>
                <w:bCs w:val="0"/>
                <w:color w:val="auto"/>
                <w:sz w:val="24"/>
                <w:lang w:val="en-US" w:eastAsia="zh-CN"/>
              </w:rPr>
              <w:t>吨/年。</w:t>
            </w:r>
          </w:p>
          <w:p w14:paraId="1B769F0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val="0"/>
                <w:color w:val="auto"/>
                <w:sz w:val="24"/>
                <w:lang w:val="en-US" w:eastAsia="zh-CN"/>
              </w:rPr>
            </w:pPr>
            <w:r>
              <w:rPr>
                <w:rFonts w:hint="default" w:ascii="Times New Roman" w:hAnsi="Times New Roman" w:eastAsia="宋体" w:cs="Times New Roman"/>
                <w:b w:val="0"/>
                <w:bCs w:val="0"/>
                <w:color w:val="auto"/>
                <w:sz w:val="24"/>
                <w:lang w:val="en-US" w:eastAsia="zh-CN"/>
              </w:rPr>
              <w:t>山西晋煤集团赵庄煤业有限责任公司在全国排污许可证管理信息平台申请了排污许可证，排污许可证编号911400006966963599001Y，有效期：自2024年11月27日起至2029年11月26日止，许可排放量为：氮氧化物21.328吨/年。</w:t>
            </w:r>
          </w:p>
          <w:p w14:paraId="67D09C6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根据以上监测报告，现有工程污染物排放总量核算结果见下表：</w:t>
            </w:r>
          </w:p>
          <w:p w14:paraId="3255D063">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rightChars="0"/>
              <w:jc w:val="center"/>
              <w:textAlignment w:val="auto"/>
              <w:outlineLvl w:val="9"/>
              <w:rPr>
                <w:rFonts w:hint="eastAsia" w:ascii="Times New Roman" w:hAnsi="Times New Roman" w:eastAsia="黑体" w:cs="Times New Roman"/>
                <w:b w:val="0"/>
                <w:bCs/>
                <w:color w:val="auto"/>
                <w:spacing w:val="0"/>
                <w:position w:val="0"/>
                <w:sz w:val="21"/>
                <w:szCs w:val="16"/>
                <w:highlight w:val="none"/>
                <w:lang w:val="en-US" w:eastAsia="zh-CN"/>
              </w:rPr>
            </w:pPr>
            <w:r>
              <w:rPr>
                <w:rFonts w:hint="eastAsia" w:ascii="Times New Roman" w:hAnsi="Times New Roman" w:eastAsia="黑体" w:cs="Times New Roman"/>
                <w:b w:val="0"/>
                <w:bCs/>
                <w:color w:val="auto"/>
                <w:spacing w:val="0"/>
                <w:position w:val="0"/>
                <w:sz w:val="21"/>
                <w:szCs w:val="16"/>
                <w:highlight w:val="none"/>
                <w:lang w:val="en-US" w:eastAsia="zh-CN"/>
              </w:rPr>
              <w:t>表2.12-1  现有工程污染物排放总量核算表</w:t>
            </w:r>
          </w:p>
          <w:tbl>
            <w:tblPr>
              <w:tblStyle w:val="25"/>
              <w:tblW w:w="7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9"/>
              <w:gridCol w:w="1319"/>
              <w:gridCol w:w="884"/>
              <w:gridCol w:w="1062"/>
              <w:gridCol w:w="1062"/>
              <w:gridCol w:w="1"/>
              <w:gridCol w:w="1061"/>
              <w:gridCol w:w="2"/>
              <w:gridCol w:w="1064"/>
              <w:gridCol w:w="1064"/>
            </w:tblGrid>
            <w:tr w14:paraId="3081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479" w:type="dxa"/>
                  <w:vMerge w:val="restart"/>
                  <w:vAlign w:val="center"/>
                </w:tcPr>
                <w:p w14:paraId="2D0062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序号</w:t>
                  </w:r>
                </w:p>
              </w:tc>
              <w:tc>
                <w:tcPr>
                  <w:tcW w:w="1319" w:type="dxa"/>
                  <w:vMerge w:val="restart"/>
                  <w:vAlign w:val="center"/>
                </w:tcPr>
                <w:p w14:paraId="0D0C01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sz w:val="21"/>
                      <w:szCs w:val="21"/>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污染源名称</w:t>
                  </w:r>
                </w:p>
              </w:tc>
              <w:tc>
                <w:tcPr>
                  <w:tcW w:w="884" w:type="dxa"/>
                  <w:vMerge w:val="restart"/>
                  <w:shd w:val="clear" w:color="auto" w:fill="auto"/>
                  <w:vAlign w:val="center"/>
                </w:tcPr>
                <w:p w14:paraId="61972B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kern w:val="2"/>
                      <w:sz w:val="21"/>
                      <w:szCs w:val="21"/>
                      <w:vertAlign w:val="baseline"/>
                      <w:lang w:val="en-US" w:eastAsia="zh-CN" w:bidi="ar-SA"/>
                    </w:rPr>
                    <w:t>年工作时间h</w:t>
                  </w:r>
                </w:p>
              </w:tc>
              <w:tc>
                <w:tcPr>
                  <w:tcW w:w="5316" w:type="dxa"/>
                  <w:gridSpan w:val="7"/>
                  <w:shd w:val="clear" w:color="auto" w:fill="auto"/>
                  <w:vAlign w:val="center"/>
                </w:tcPr>
                <w:p w14:paraId="56453A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kern w:val="2"/>
                      <w:sz w:val="21"/>
                      <w:szCs w:val="21"/>
                      <w:vertAlign w:val="baseline"/>
                      <w:lang w:val="en-US" w:eastAsia="zh-CN" w:bidi="ar-SA"/>
                    </w:rPr>
                    <w:t>污染物</w:t>
                  </w:r>
                </w:p>
              </w:tc>
            </w:tr>
            <w:tr w14:paraId="3FE42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479" w:type="dxa"/>
                  <w:vMerge w:val="continue"/>
                  <w:vAlign w:val="center"/>
                </w:tcPr>
                <w:p w14:paraId="555164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color w:val="auto"/>
                      <w:sz w:val="21"/>
                      <w:szCs w:val="21"/>
                      <w:vertAlign w:val="baseline"/>
                      <w:lang w:val="en-US" w:eastAsia="zh-CN"/>
                    </w:rPr>
                  </w:pPr>
                </w:p>
              </w:tc>
              <w:tc>
                <w:tcPr>
                  <w:tcW w:w="1319" w:type="dxa"/>
                  <w:vMerge w:val="continue"/>
                  <w:vAlign w:val="center"/>
                </w:tcPr>
                <w:p w14:paraId="3F81960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color w:val="auto"/>
                      <w:sz w:val="21"/>
                      <w:szCs w:val="21"/>
                      <w:vertAlign w:val="baseline"/>
                      <w:lang w:val="en-US" w:eastAsia="zh-CN"/>
                    </w:rPr>
                  </w:pPr>
                </w:p>
              </w:tc>
              <w:tc>
                <w:tcPr>
                  <w:tcW w:w="884" w:type="dxa"/>
                  <w:vMerge w:val="continue"/>
                  <w:shd w:val="clear" w:color="auto" w:fill="auto"/>
                  <w:vAlign w:val="center"/>
                </w:tcPr>
                <w:p w14:paraId="445A72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color w:val="auto"/>
                      <w:kern w:val="2"/>
                      <w:sz w:val="21"/>
                      <w:szCs w:val="21"/>
                      <w:vertAlign w:val="baseline"/>
                      <w:lang w:val="en-US" w:eastAsia="zh-CN" w:bidi="ar-SA"/>
                    </w:rPr>
                  </w:pPr>
                </w:p>
              </w:tc>
              <w:tc>
                <w:tcPr>
                  <w:tcW w:w="2124" w:type="dxa"/>
                  <w:gridSpan w:val="2"/>
                  <w:shd w:val="clear" w:color="auto" w:fill="auto"/>
                  <w:vAlign w:val="center"/>
                </w:tcPr>
                <w:p w14:paraId="417652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kern w:val="2"/>
                      <w:sz w:val="21"/>
                      <w:szCs w:val="21"/>
                      <w:vertAlign w:val="baseline"/>
                      <w:lang w:val="en-US" w:eastAsia="zh-CN" w:bidi="ar-SA"/>
                    </w:rPr>
                    <w:t>颗粒物</w:t>
                  </w:r>
                </w:p>
              </w:tc>
              <w:tc>
                <w:tcPr>
                  <w:tcW w:w="2128" w:type="dxa"/>
                  <w:gridSpan w:val="4"/>
                  <w:shd w:val="clear" w:color="auto" w:fill="auto"/>
                  <w:vAlign w:val="center"/>
                </w:tcPr>
                <w:p w14:paraId="13B499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cs="Times New Roman"/>
                      <w:b w:val="0"/>
                      <w:bCs w:val="0"/>
                      <w:color w:val="auto"/>
                      <w:sz w:val="21"/>
                      <w:szCs w:val="21"/>
                      <w:highlight w:val="none"/>
                      <w:vertAlign w:val="baseline"/>
                      <w:lang w:val="en-US" w:eastAsia="zh-CN"/>
                    </w:rPr>
                    <w:t>二氧化硫</w:t>
                  </w:r>
                </w:p>
              </w:tc>
              <w:tc>
                <w:tcPr>
                  <w:tcW w:w="1064" w:type="dxa"/>
                  <w:shd w:val="clear" w:color="auto" w:fill="auto"/>
                  <w:vAlign w:val="center"/>
                </w:tcPr>
                <w:p w14:paraId="0BC38C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cs="Times New Roman"/>
                      <w:b w:val="0"/>
                      <w:bCs w:val="0"/>
                      <w:color w:val="auto"/>
                      <w:sz w:val="21"/>
                      <w:szCs w:val="21"/>
                      <w:highlight w:val="none"/>
                      <w:vertAlign w:val="baseline"/>
                      <w:lang w:val="en-US" w:eastAsia="zh-CN"/>
                    </w:rPr>
                    <w:t>氮氧化物</w:t>
                  </w:r>
                </w:p>
              </w:tc>
            </w:tr>
            <w:tr w14:paraId="73DCB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479" w:type="dxa"/>
                  <w:vMerge w:val="continue"/>
                  <w:vAlign w:val="center"/>
                </w:tcPr>
                <w:p w14:paraId="5306F5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rPr>
                  </w:pPr>
                </w:p>
              </w:tc>
              <w:tc>
                <w:tcPr>
                  <w:tcW w:w="1319" w:type="dxa"/>
                  <w:vMerge w:val="continue"/>
                  <w:vAlign w:val="center"/>
                </w:tcPr>
                <w:p w14:paraId="29FF77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rPr>
                  </w:pPr>
                </w:p>
              </w:tc>
              <w:tc>
                <w:tcPr>
                  <w:tcW w:w="884" w:type="dxa"/>
                  <w:vMerge w:val="continue"/>
                  <w:shd w:val="clear" w:color="auto" w:fill="auto"/>
                  <w:vAlign w:val="center"/>
                </w:tcPr>
                <w:p w14:paraId="1C53F1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rPr>
                  </w:pPr>
                </w:p>
              </w:tc>
              <w:tc>
                <w:tcPr>
                  <w:tcW w:w="1062" w:type="dxa"/>
                  <w:shd w:val="clear" w:color="auto" w:fill="auto"/>
                  <w:vAlign w:val="center"/>
                </w:tcPr>
                <w:p w14:paraId="00667D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排放速率</w:t>
                  </w:r>
                </w:p>
                <w:p w14:paraId="1E57C4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vertAlign w:val="baseline"/>
                      <w:lang w:val="en-US" w:eastAsia="zh-CN"/>
                    </w:rPr>
                    <w:t>kg/h</w:t>
                  </w:r>
                </w:p>
              </w:tc>
              <w:tc>
                <w:tcPr>
                  <w:tcW w:w="1062" w:type="dxa"/>
                  <w:shd w:val="clear" w:color="auto" w:fill="auto"/>
                  <w:vAlign w:val="center"/>
                </w:tcPr>
                <w:p w14:paraId="26AAAA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年排放量</w:t>
                  </w:r>
                </w:p>
                <w:p w14:paraId="73084F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b w:val="0"/>
                      <w:bCs w:val="0"/>
                      <w:color w:val="auto"/>
                      <w:sz w:val="21"/>
                      <w:szCs w:val="21"/>
                      <w:vertAlign w:val="baseline"/>
                      <w:lang w:val="en-US" w:eastAsia="zh-CN"/>
                    </w:rPr>
                    <w:t>t/a</w:t>
                  </w:r>
                </w:p>
              </w:tc>
              <w:tc>
                <w:tcPr>
                  <w:tcW w:w="1062" w:type="dxa"/>
                  <w:gridSpan w:val="2"/>
                  <w:shd w:val="clear" w:color="auto" w:fill="auto"/>
                  <w:vAlign w:val="center"/>
                </w:tcPr>
                <w:p w14:paraId="685224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排放速率</w:t>
                  </w:r>
                </w:p>
                <w:p w14:paraId="6BE005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ascii="Times New Roman" w:hAnsi="Times New Roman" w:eastAsia="宋体" w:cs="Times New Roman"/>
                      <w:b w:val="0"/>
                      <w:bCs w:val="0"/>
                      <w:color w:val="auto"/>
                      <w:sz w:val="21"/>
                      <w:szCs w:val="21"/>
                      <w:vertAlign w:val="baseline"/>
                      <w:lang w:val="en-US" w:eastAsia="zh-CN"/>
                    </w:rPr>
                    <w:t>kg/h</w:t>
                  </w:r>
                </w:p>
              </w:tc>
              <w:tc>
                <w:tcPr>
                  <w:tcW w:w="1066" w:type="dxa"/>
                  <w:gridSpan w:val="2"/>
                  <w:shd w:val="clear" w:color="auto" w:fill="auto"/>
                  <w:vAlign w:val="center"/>
                </w:tcPr>
                <w:p w14:paraId="591C40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年排放量</w:t>
                  </w:r>
                </w:p>
                <w:p w14:paraId="5E7931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b w:val="0"/>
                      <w:bCs w:val="0"/>
                      <w:color w:val="auto"/>
                      <w:sz w:val="21"/>
                      <w:szCs w:val="21"/>
                      <w:vertAlign w:val="baseline"/>
                      <w:lang w:val="en-US" w:eastAsia="zh-CN"/>
                    </w:rPr>
                    <w:t>t/a</w:t>
                  </w:r>
                </w:p>
              </w:tc>
              <w:tc>
                <w:tcPr>
                  <w:tcW w:w="1064" w:type="dxa"/>
                  <w:shd w:val="clear" w:color="auto" w:fill="auto"/>
                  <w:vAlign w:val="center"/>
                </w:tcPr>
                <w:p w14:paraId="1F5788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vertAlign w:val="baseline"/>
                      <w:lang w:val="en-US" w:eastAsia="zh-CN"/>
                    </w:rPr>
                  </w:pPr>
                  <w:r>
                    <w:rPr>
                      <w:rFonts w:hint="eastAsia"/>
                      <w:b w:val="0"/>
                      <w:bCs w:val="0"/>
                      <w:color w:val="auto"/>
                      <w:sz w:val="21"/>
                      <w:szCs w:val="21"/>
                      <w:vertAlign w:val="baseline"/>
                      <w:lang w:val="en-US" w:eastAsia="zh-CN"/>
                    </w:rPr>
                    <w:t>年排放量</w:t>
                  </w:r>
                </w:p>
                <w:p w14:paraId="1BC0F0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kern w:val="2"/>
                      <w:sz w:val="21"/>
                      <w:szCs w:val="21"/>
                      <w:vertAlign w:val="baseline"/>
                      <w:lang w:val="en-US" w:eastAsia="zh-CN" w:bidi="ar-SA"/>
                    </w:rPr>
                  </w:pPr>
                  <w:r>
                    <w:rPr>
                      <w:rFonts w:hint="eastAsia"/>
                      <w:b w:val="0"/>
                      <w:bCs w:val="0"/>
                      <w:color w:val="auto"/>
                      <w:sz w:val="21"/>
                      <w:szCs w:val="21"/>
                      <w:vertAlign w:val="baseline"/>
                      <w:lang w:val="en-US" w:eastAsia="zh-CN"/>
                    </w:rPr>
                    <w:t>t/a</w:t>
                  </w:r>
                </w:p>
              </w:tc>
            </w:tr>
            <w:tr w14:paraId="4A0B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479" w:type="dxa"/>
                  <w:vAlign w:val="center"/>
                </w:tcPr>
                <w:p w14:paraId="7D5EAEF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w:t>
                  </w:r>
                </w:p>
              </w:tc>
              <w:tc>
                <w:tcPr>
                  <w:tcW w:w="1319" w:type="dxa"/>
                  <w:vAlign w:val="center"/>
                </w:tcPr>
                <w:p w14:paraId="4F56DCE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工业场地</w:t>
                  </w:r>
                  <w:r>
                    <w:rPr>
                      <w:rFonts w:hint="eastAsia" w:ascii="Times New Roman" w:hAnsi="Times New Roman" w:cs="Times New Roman"/>
                      <w:b w:val="0"/>
                      <w:bCs w:val="0"/>
                      <w:color w:val="auto"/>
                      <w:sz w:val="21"/>
                      <w:szCs w:val="21"/>
                      <w:vertAlign w:val="baseline"/>
                      <w:lang w:val="en-US" w:eastAsia="zh-CN"/>
                    </w:rPr>
                    <w:t>1</w:t>
                  </w:r>
                  <w:r>
                    <w:rPr>
                      <w:rFonts w:hint="eastAsia" w:ascii="Times New Roman" w:hAnsi="Times New Roman" w:eastAsia="宋体" w:cs="Times New Roman"/>
                      <w:b w:val="0"/>
                      <w:bCs w:val="0"/>
                      <w:color w:val="auto"/>
                      <w:sz w:val="21"/>
                      <w:szCs w:val="21"/>
                      <w:vertAlign w:val="baseline"/>
                      <w:lang w:val="en-US" w:eastAsia="zh-CN"/>
                    </w:rPr>
                    <w:t>#20t/h燃气锅炉</w:t>
                  </w:r>
                </w:p>
              </w:tc>
              <w:tc>
                <w:tcPr>
                  <w:tcW w:w="884" w:type="dxa"/>
                  <w:vMerge w:val="restart"/>
                  <w:vAlign w:val="center"/>
                </w:tcPr>
                <w:p w14:paraId="4CF3D1F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3600</w:t>
                  </w:r>
                </w:p>
              </w:tc>
              <w:tc>
                <w:tcPr>
                  <w:tcW w:w="1062" w:type="dxa"/>
                  <w:vAlign w:val="center"/>
                </w:tcPr>
                <w:p w14:paraId="4103FA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0.0393</w:t>
                  </w:r>
                </w:p>
              </w:tc>
              <w:tc>
                <w:tcPr>
                  <w:tcW w:w="1063" w:type="dxa"/>
                  <w:gridSpan w:val="2"/>
                  <w:vAlign w:val="center"/>
                </w:tcPr>
                <w:p w14:paraId="0AE5057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0.141</w:t>
                  </w:r>
                </w:p>
              </w:tc>
              <w:tc>
                <w:tcPr>
                  <w:tcW w:w="1063" w:type="dxa"/>
                  <w:gridSpan w:val="2"/>
                  <w:vAlign w:val="center"/>
                </w:tcPr>
                <w:p w14:paraId="5293900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0.0106</w:t>
                  </w:r>
                </w:p>
              </w:tc>
              <w:tc>
                <w:tcPr>
                  <w:tcW w:w="1064" w:type="dxa"/>
                  <w:vAlign w:val="center"/>
                </w:tcPr>
                <w:p w14:paraId="7D2C243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0.038</w:t>
                  </w:r>
                </w:p>
              </w:tc>
              <w:tc>
                <w:tcPr>
                  <w:tcW w:w="1064" w:type="dxa"/>
                  <w:vAlign w:val="center"/>
                </w:tcPr>
                <w:p w14:paraId="3E9E693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0.410</w:t>
                  </w:r>
                </w:p>
              </w:tc>
            </w:tr>
            <w:tr w14:paraId="3819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79" w:type="dxa"/>
                  <w:vMerge w:val="restart"/>
                  <w:vAlign w:val="center"/>
                </w:tcPr>
                <w:p w14:paraId="692B1C9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2</w:t>
                  </w:r>
                </w:p>
              </w:tc>
              <w:tc>
                <w:tcPr>
                  <w:tcW w:w="1319" w:type="dxa"/>
                  <w:vMerge w:val="restart"/>
                  <w:vAlign w:val="center"/>
                </w:tcPr>
                <w:p w14:paraId="58EEE01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工业场地</w:t>
                  </w:r>
                  <w:r>
                    <w:rPr>
                      <w:rFonts w:hint="eastAsia" w:ascii="Times New Roman" w:hAnsi="Times New Roman" w:cs="Times New Roman"/>
                      <w:b w:val="0"/>
                      <w:bCs w:val="0"/>
                      <w:color w:val="auto"/>
                      <w:sz w:val="21"/>
                      <w:szCs w:val="21"/>
                      <w:vertAlign w:val="baseline"/>
                      <w:lang w:val="en-US" w:eastAsia="zh-CN"/>
                    </w:rPr>
                    <w:t>2</w:t>
                  </w:r>
                  <w:r>
                    <w:rPr>
                      <w:rFonts w:hint="eastAsia" w:ascii="Times New Roman" w:hAnsi="Times New Roman" w:eastAsia="宋体" w:cs="Times New Roman"/>
                      <w:b w:val="0"/>
                      <w:bCs w:val="0"/>
                      <w:color w:val="auto"/>
                      <w:sz w:val="21"/>
                      <w:szCs w:val="21"/>
                      <w:vertAlign w:val="baseline"/>
                      <w:lang w:val="en-US" w:eastAsia="zh-CN"/>
                    </w:rPr>
                    <w:t>#20t/h燃气锅炉</w:t>
                  </w:r>
                </w:p>
              </w:tc>
              <w:tc>
                <w:tcPr>
                  <w:tcW w:w="884" w:type="dxa"/>
                  <w:vMerge w:val="continue"/>
                  <w:shd w:val="clear" w:color="auto" w:fill="auto"/>
                  <w:vAlign w:val="center"/>
                </w:tcPr>
                <w:p w14:paraId="035F1AB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062" w:type="dxa"/>
                  <w:vMerge w:val="restart"/>
                  <w:vAlign w:val="center"/>
                </w:tcPr>
                <w:p w14:paraId="645FE0A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0.0241</w:t>
                  </w:r>
                </w:p>
              </w:tc>
              <w:tc>
                <w:tcPr>
                  <w:tcW w:w="1063" w:type="dxa"/>
                  <w:gridSpan w:val="2"/>
                  <w:vMerge w:val="restart"/>
                  <w:vAlign w:val="center"/>
                </w:tcPr>
                <w:p w14:paraId="2C341BC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0.087</w:t>
                  </w:r>
                </w:p>
              </w:tc>
              <w:tc>
                <w:tcPr>
                  <w:tcW w:w="1063" w:type="dxa"/>
                  <w:gridSpan w:val="2"/>
                  <w:vMerge w:val="restart"/>
                  <w:vAlign w:val="center"/>
                </w:tcPr>
                <w:p w14:paraId="51C397F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0.0078</w:t>
                  </w:r>
                </w:p>
              </w:tc>
              <w:tc>
                <w:tcPr>
                  <w:tcW w:w="1064" w:type="dxa"/>
                  <w:vMerge w:val="restart"/>
                  <w:vAlign w:val="center"/>
                </w:tcPr>
                <w:p w14:paraId="4BCCDC5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0.028</w:t>
                  </w:r>
                </w:p>
              </w:tc>
              <w:tc>
                <w:tcPr>
                  <w:tcW w:w="1064" w:type="dxa"/>
                  <w:vMerge w:val="restart"/>
                  <w:shd w:val="clear" w:color="auto" w:fill="auto"/>
                  <w:vAlign w:val="center"/>
                </w:tcPr>
                <w:p w14:paraId="594056C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kern w:val="2"/>
                      <w:sz w:val="21"/>
                      <w:szCs w:val="21"/>
                      <w:vertAlign w:val="baseline"/>
                      <w:lang w:val="en-US" w:eastAsia="zh-CN" w:bidi="ar-SA"/>
                    </w:rPr>
                    <w:t>0.445</w:t>
                  </w:r>
                </w:p>
              </w:tc>
            </w:tr>
            <w:tr w14:paraId="2962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9" w:type="dxa"/>
                  <w:vMerge w:val="continue"/>
                  <w:vAlign w:val="center"/>
                </w:tcPr>
                <w:p w14:paraId="0631244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color w:val="auto"/>
                    </w:rPr>
                  </w:pPr>
                </w:p>
              </w:tc>
              <w:tc>
                <w:tcPr>
                  <w:tcW w:w="1319" w:type="dxa"/>
                  <w:vMerge w:val="continue"/>
                  <w:vAlign w:val="center"/>
                </w:tcPr>
                <w:p w14:paraId="629722C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color w:val="auto"/>
                    </w:rPr>
                  </w:pPr>
                </w:p>
              </w:tc>
              <w:tc>
                <w:tcPr>
                  <w:tcW w:w="884" w:type="dxa"/>
                  <w:vMerge w:val="continue"/>
                  <w:shd w:val="clear" w:color="auto" w:fill="auto"/>
                  <w:vAlign w:val="center"/>
                </w:tcPr>
                <w:p w14:paraId="732297D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062" w:type="dxa"/>
                  <w:vMerge w:val="continue"/>
                  <w:vAlign w:val="center"/>
                </w:tcPr>
                <w:p w14:paraId="111780F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11EF285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7903437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7A50C1C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shd w:val="clear" w:color="auto" w:fill="auto"/>
                  <w:vAlign w:val="center"/>
                </w:tcPr>
                <w:p w14:paraId="4CA67A3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r>
            <w:tr w14:paraId="1936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9" w:type="dxa"/>
                  <w:vMerge w:val="continue"/>
                  <w:vAlign w:val="center"/>
                </w:tcPr>
                <w:p w14:paraId="58354FB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319" w:type="dxa"/>
                  <w:vMerge w:val="continue"/>
                  <w:vAlign w:val="center"/>
                </w:tcPr>
                <w:p w14:paraId="4337B11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884" w:type="dxa"/>
                  <w:vMerge w:val="continue"/>
                  <w:shd w:val="clear" w:color="auto" w:fill="auto"/>
                  <w:vAlign w:val="center"/>
                </w:tcPr>
                <w:p w14:paraId="157C832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062" w:type="dxa"/>
                  <w:vMerge w:val="continue"/>
                  <w:vAlign w:val="center"/>
                </w:tcPr>
                <w:p w14:paraId="26C553E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0A52475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4E3FD02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2A19EB2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shd w:val="clear" w:color="auto" w:fill="auto"/>
                  <w:vAlign w:val="center"/>
                </w:tcPr>
                <w:p w14:paraId="75986A1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vertAlign w:val="baseline"/>
                      <w:lang w:val="en-US" w:eastAsia="zh-CN" w:bidi="ar-SA"/>
                    </w:rPr>
                  </w:pPr>
                </w:p>
              </w:tc>
            </w:tr>
            <w:tr w14:paraId="2236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9" w:type="dxa"/>
                  <w:vMerge w:val="restart"/>
                  <w:vAlign w:val="center"/>
                </w:tcPr>
                <w:p w14:paraId="20E3FF5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3</w:t>
                  </w:r>
                </w:p>
              </w:tc>
              <w:tc>
                <w:tcPr>
                  <w:tcW w:w="1319" w:type="dxa"/>
                  <w:vMerge w:val="restart"/>
                  <w:vAlign w:val="center"/>
                </w:tcPr>
                <w:p w14:paraId="5B69512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工业场地</w:t>
                  </w:r>
                  <w:r>
                    <w:rPr>
                      <w:rFonts w:hint="eastAsia" w:ascii="Times New Roman" w:hAnsi="Times New Roman" w:cs="Times New Roman"/>
                      <w:b w:val="0"/>
                      <w:bCs w:val="0"/>
                      <w:color w:val="auto"/>
                      <w:sz w:val="21"/>
                      <w:szCs w:val="21"/>
                      <w:vertAlign w:val="baseline"/>
                      <w:lang w:val="en-US" w:eastAsia="zh-CN"/>
                    </w:rPr>
                    <w:t>3</w:t>
                  </w:r>
                  <w:r>
                    <w:rPr>
                      <w:rFonts w:hint="eastAsia" w:ascii="Times New Roman" w:hAnsi="Times New Roman" w:eastAsia="宋体" w:cs="Times New Roman"/>
                      <w:b w:val="0"/>
                      <w:bCs w:val="0"/>
                      <w:color w:val="auto"/>
                      <w:sz w:val="21"/>
                      <w:szCs w:val="21"/>
                      <w:vertAlign w:val="baseline"/>
                      <w:lang w:val="en-US" w:eastAsia="zh-CN"/>
                    </w:rPr>
                    <w:t>#20t/h燃气锅炉</w:t>
                  </w:r>
                </w:p>
              </w:tc>
              <w:tc>
                <w:tcPr>
                  <w:tcW w:w="884" w:type="dxa"/>
                  <w:vMerge w:val="continue"/>
                  <w:shd w:val="clear" w:color="auto" w:fill="auto"/>
                  <w:vAlign w:val="center"/>
                </w:tcPr>
                <w:p w14:paraId="6AA2545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062" w:type="dxa"/>
                  <w:vMerge w:val="restart"/>
                  <w:vAlign w:val="center"/>
                </w:tcPr>
                <w:p w14:paraId="7E9EE11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0.0202</w:t>
                  </w:r>
                </w:p>
              </w:tc>
              <w:tc>
                <w:tcPr>
                  <w:tcW w:w="1063" w:type="dxa"/>
                  <w:gridSpan w:val="2"/>
                  <w:vMerge w:val="restart"/>
                  <w:vAlign w:val="center"/>
                </w:tcPr>
                <w:p w14:paraId="49046B1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0.073</w:t>
                  </w:r>
                </w:p>
              </w:tc>
              <w:tc>
                <w:tcPr>
                  <w:tcW w:w="1063" w:type="dxa"/>
                  <w:gridSpan w:val="2"/>
                  <w:vMerge w:val="restart"/>
                  <w:vAlign w:val="center"/>
                </w:tcPr>
                <w:p w14:paraId="7BCB514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0.0063</w:t>
                  </w:r>
                </w:p>
              </w:tc>
              <w:tc>
                <w:tcPr>
                  <w:tcW w:w="1064" w:type="dxa"/>
                  <w:vMerge w:val="restart"/>
                  <w:vAlign w:val="center"/>
                </w:tcPr>
                <w:p w14:paraId="3347EE0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0.023</w:t>
                  </w:r>
                </w:p>
              </w:tc>
              <w:tc>
                <w:tcPr>
                  <w:tcW w:w="1064" w:type="dxa"/>
                  <w:vMerge w:val="restart"/>
                  <w:vAlign w:val="center"/>
                </w:tcPr>
                <w:p w14:paraId="322842D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0.618</w:t>
                  </w:r>
                </w:p>
              </w:tc>
            </w:tr>
            <w:tr w14:paraId="3C9B5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9" w:type="dxa"/>
                  <w:vMerge w:val="continue"/>
                  <w:vAlign w:val="center"/>
                </w:tcPr>
                <w:p w14:paraId="2EEBFD6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319" w:type="dxa"/>
                  <w:vMerge w:val="continue"/>
                  <w:vAlign w:val="center"/>
                </w:tcPr>
                <w:p w14:paraId="4E7CC16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884" w:type="dxa"/>
                  <w:vMerge w:val="continue"/>
                  <w:shd w:val="clear" w:color="auto" w:fill="auto"/>
                  <w:vAlign w:val="center"/>
                </w:tcPr>
                <w:p w14:paraId="5B95196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062" w:type="dxa"/>
                  <w:vMerge w:val="continue"/>
                  <w:vAlign w:val="center"/>
                </w:tcPr>
                <w:p w14:paraId="2579992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1EF96E0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0378434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26BB7C1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110E027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2435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9" w:type="dxa"/>
                  <w:vMerge w:val="continue"/>
                  <w:vAlign w:val="center"/>
                </w:tcPr>
                <w:p w14:paraId="1712509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319" w:type="dxa"/>
                  <w:vMerge w:val="continue"/>
                  <w:vAlign w:val="center"/>
                </w:tcPr>
                <w:p w14:paraId="1339955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884" w:type="dxa"/>
                  <w:vMerge w:val="continue"/>
                  <w:shd w:val="clear" w:color="auto" w:fill="auto"/>
                  <w:vAlign w:val="center"/>
                </w:tcPr>
                <w:p w14:paraId="0F8E0E0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2"/>
                      <w:sz w:val="21"/>
                      <w:szCs w:val="21"/>
                      <w:highlight w:val="none"/>
                      <w:vertAlign w:val="baseline"/>
                      <w:lang w:val="en-US" w:eastAsia="zh-CN" w:bidi="ar-SA"/>
                    </w:rPr>
                  </w:pPr>
                </w:p>
              </w:tc>
              <w:tc>
                <w:tcPr>
                  <w:tcW w:w="1062" w:type="dxa"/>
                  <w:vMerge w:val="continue"/>
                  <w:vAlign w:val="center"/>
                </w:tcPr>
                <w:p w14:paraId="134ADF5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7C9255C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7C73668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480D9A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24AB069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00DD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9" w:type="dxa"/>
                  <w:vMerge w:val="restart"/>
                  <w:vAlign w:val="center"/>
                </w:tcPr>
                <w:p w14:paraId="347AE59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4</w:t>
                  </w:r>
                </w:p>
              </w:tc>
              <w:tc>
                <w:tcPr>
                  <w:tcW w:w="1319" w:type="dxa"/>
                  <w:vMerge w:val="restart"/>
                  <w:vAlign w:val="center"/>
                </w:tcPr>
                <w:p w14:paraId="610B2A3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vertAlign w:val="baseline"/>
                      <w:lang w:val="en-US" w:eastAsia="zh-CN"/>
                    </w:rPr>
                    <w:t>工业场地</w:t>
                  </w:r>
                  <w:r>
                    <w:rPr>
                      <w:rFonts w:hint="eastAsia" w:ascii="Times New Roman" w:hAnsi="Times New Roman" w:cs="Times New Roman"/>
                      <w:b w:val="0"/>
                      <w:bCs w:val="0"/>
                      <w:color w:val="auto"/>
                      <w:sz w:val="21"/>
                      <w:szCs w:val="21"/>
                      <w:vertAlign w:val="baseline"/>
                      <w:lang w:val="en-US" w:eastAsia="zh-CN"/>
                    </w:rPr>
                    <w:t>4</w:t>
                  </w:r>
                  <w:r>
                    <w:rPr>
                      <w:rFonts w:hint="eastAsia" w:ascii="Times New Roman" w:hAnsi="Times New Roman" w:eastAsia="宋体" w:cs="Times New Roman"/>
                      <w:b w:val="0"/>
                      <w:bCs w:val="0"/>
                      <w:color w:val="auto"/>
                      <w:sz w:val="21"/>
                      <w:szCs w:val="21"/>
                      <w:vertAlign w:val="baseline"/>
                      <w:lang w:val="en-US" w:eastAsia="zh-CN"/>
                    </w:rPr>
                    <w:t>#20t/h燃气锅炉</w:t>
                  </w:r>
                </w:p>
              </w:tc>
              <w:tc>
                <w:tcPr>
                  <w:tcW w:w="884" w:type="dxa"/>
                  <w:vMerge w:val="continue"/>
                  <w:shd w:val="clear" w:color="auto" w:fill="auto"/>
                  <w:vAlign w:val="center"/>
                </w:tcPr>
                <w:p w14:paraId="335409F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val="0"/>
                      <w:bCs w:val="0"/>
                      <w:color w:val="auto"/>
                      <w:kern w:val="2"/>
                      <w:sz w:val="21"/>
                      <w:szCs w:val="21"/>
                      <w:highlight w:val="none"/>
                      <w:vertAlign w:val="baseline"/>
                      <w:lang w:val="en-US" w:eastAsia="zh-CN" w:bidi="ar-SA"/>
                    </w:rPr>
                  </w:pPr>
                </w:p>
              </w:tc>
              <w:tc>
                <w:tcPr>
                  <w:tcW w:w="1062" w:type="dxa"/>
                  <w:vMerge w:val="restart"/>
                  <w:vAlign w:val="center"/>
                </w:tcPr>
                <w:p w14:paraId="3E3ED2B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0.0158</w:t>
                  </w:r>
                </w:p>
              </w:tc>
              <w:tc>
                <w:tcPr>
                  <w:tcW w:w="1063" w:type="dxa"/>
                  <w:gridSpan w:val="2"/>
                  <w:vMerge w:val="restart"/>
                  <w:vAlign w:val="center"/>
                </w:tcPr>
                <w:p w14:paraId="494DAE5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0.057</w:t>
                  </w:r>
                </w:p>
              </w:tc>
              <w:tc>
                <w:tcPr>
                  <w:tcW w:w="1063" w:type="dxa"/>
                  <w:gridSpan w:val="2"/>
                  <w:vMerge w:val="restart"/>
                  <w:vAlign w:val="center"/>
                </w:tcPr>
                <w:p w14:paraId="733BBD2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0.0059</w:t>
                  </w:r>
                </w:p>
              </w:tc>
              <w:tc>
                <w:tcPr>
                  <w:tcW w:w="1064" w:type="dxa"/>
                  <w:vMerge w:val="restart"/>
                  <w:vAlign w:val="center"/>
                </w:tcPr>
                <w:p w14:paraId="19B7B63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0.021</w:t>
                  </w:r>
                </w:p>
              </w:tc>
              <w:tc>
                <w:tcPr>
                  <w:tcW w:w="1064" w:type="dxa"/>
                  <w:vMerge w:val="restart"/>
                  <w:vAlign w:val="center"/>
                </w:tcPr>
                <w:p w14:paraId="3F9AAD5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r>
                    <w:rPr>
                      <w:rFonts w:hint="eastAsia" w:ascii="Times New Roman" w:hAnsi="Times New Roman" w:eastAsia="宋体" w:cs="Times New Roman"/>
                      <w:b w:val="0"/>
                      <w:bCs w:val="0"/>
                      <w:color w:val="auto"/>
                      <w:sz w:val="21"/>
                      <w:szCs w:val="21"/>
                      <w:highlight w:val="none"/>
                      <w:vertAlign w:val="baseline"/>
                      <w:lang w:val="en-US" w:eastAsia="zh-CN"/>
                    </w:rPr>
                    <w:t>0.459</w:t>
                  </w:r>
                </w:p>
              </w:tc>
            </w:tr>
            <w:tr w14:paraId="40345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9" w:type="dxa"/>
                  <w:vMerge w:val="continue"/>
                  <w:vAlign w:val="center"/>
                </w:tcPr>
                <w:p w14:paraId="1258995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319" w:type="dxa"/>
                  <w:vMerge w:val="continue"/>
                  <w:vAlign w:val="center"/>
                </w:tcPr>
                <w:p w14:paraId="3D2A8C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884" w:type="dxa"/>
                  <w:vMerge w:val="continue"/>
                  <w:shd w:val="clear" w:color="auto" w:fill="auto"/>
                  <w:vAlign w:val="center"/>
                </w:tcPr>
                <w:p w14:paraId="66CAFA8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val="0"/>
                      <w:bCs w:val="0"/>
                      <w:color w:val="auto"/>
                      <w:kern w:val="2"/>
                      <w:sz w:val="21"/>
                      <w:szCs w:val="21"/>
                      <w:highlight w:val="none"/>
                      <w:vertAlign w:val="baseline"/>
                      <w:lang w:val="en-US" w:eastAsia="zh-CN" w:bidi="ar-SA"/>
                    </w:rPr>
                  </w:pPr>
                </w:p>
              </w:tc>
              <w:tc>
                <w:tcPr>
                  <w:tcW w:w="1062" w:type="dxa"/>
                  <w:vMerge w:val="continue"/>
                  <w:vAlign w:val="center"/>
                </w:tcPr>
                <w:p w14:paraId="7695922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1357EDF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49EF431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1B71008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70A738D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3635C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79" w:type="dxa"/>
                  <w:vMerge w:val="continue"/>
                  <w:vAlign w:val="center"/>
                </w:tcPr>
                <w:p w14:paraId="112650B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319" w:type="dxa"/>
                  <w:vMerge w:val="continue"/>
                  <w:vAlign w:val="center"/>
                </w:tcPr>
                <w:p w14:paraId="5146172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884" w:type="dxa"/>
                  <w:vMerge w:val="continue"/>
                  <w:shd w:val="clear" w:color="auto" w:fill="auto"/>
                  <w:vAlign w:val="center"/>
                </w:tcPr>
                <w:p w14:paraId="612B1CA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val="0"/>
                      <w:bCs w:val="0"/>
                      <w:color w:val="auto"/>
                      <w:kern w:val="2"/>
                      <w:sz w:val="21"/>
                      <w:szCs w:val="21"/>
                      <w:highlight w:val="none"/>
                      <w:vertAlign w:val="baseline"/>
                      <w:lang w:val="en-US" w:eastAsia="zh-CN" w:bidi="ar-SA"/>
                    </w:rPr>
                  </w:pPr>
                </w:p>
              </w:tc>
              <w:tc>
                <w:tcPr>
                  <w:tcW w:w="1062" w:type="dxa"/>
                  <w:vMerge w:val="continue"/>
                  <w:vAlign w:val="center"/>
                </w:tcPr>
                <w:p w14:paraId="6FF69C3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6BC780A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3" w:type="dxa"/>
                  <w:gridSpan w:val="2"/>
                  <w:vMerge w:val="continue"/>
                  <w:vAlign w:val="center"/>
                </w:tcPr>
                <w:p w14:paraId="19A2F31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3041EC9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c>
                <w:tcPr>
                  <w:tcW w:w="1064" w:type="dxa"/>
                  <w:vMerge w:val="continue"/>
                  <w:vAlign w:val="center"/>
                </w:tcPr>
                <w:p w14:paraId="0E2A979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sz w:val="21"/>
                      <w:szCs w:val="21"/>
                      <w:highlight w:val="none"/>
                      <w:vertAlign w:val="baseline"/>
                      <w:lang w:val="en-US" w:eastAsia="zh-CN"/>
                    </w:rPr>
                  </w:pPr>
                </w:p>
              </w:tc>
            </w:tr>
            <w:tr w14:paraId="338F8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798" w:type="dxa"/>
                  <w:gridSpan w:val="2"/>
                  <w:vAlign w:val="center"/>
                </w:tcPr>
                <w:p w14:paraId="7FF118A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合计</w:t>
                  </w:r>
                </w:p>
              </w:tc>
              <w:tc>
                <w:tcPr>
                  <w:tcW w:w="884" w:type="dxa"/>
                  <w:vAlign w:val="center"/>
                </w:tcPr>
                <w:p w14:paraId="35DB18D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auto"/>
                      <w:sz w:val="21"/>
                      <w:szCs w:val="21"/>
                      <w:highlight w:val="none"/>
                      <w:vertAlign w:val="baseline"/>
                      <w:lang w:val="en-US" w:eastAsia="zh-CN"/>
                    </w:rPr>
                  </w:pPr>
                </w:p>
              </w:tc>
              <w:tc>
                <w:tcPr>
                  <w:tcW w:w="1062" w:type="dxa"/>
                  <w:vAlign w:val="center"/>
                </w:tcPr>
                <w:p w14:paraId="49BFD8C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c>
                <w:tcPr>
                  <w:tcW w:w="1063" w:type="dxa"/>
                  <w:gridSpan w:val="2"/>
                  <w:vAlign w:val="center"/>
                </w:tcPr>
                <w:p w14:paraId="70AAE42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0.358</w:t>
                  </w:r>
                </w:p>
              </w:tc>
              <w:tc>
                <w:tcPr>
                  <w:tcW w:w="1063" w:type="dxa"/>
                  <w:gridSpan w:val="2"/>
                  <w:vAlign w:val="center"/>
                </w:tcPr>
                <w:p w14:paraId="3A472F6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w:t>
                  </w:r>
                </w:p>
              </w:tc>
              <w:tc>
                <w:tcPr>
                  <w:tcW w:w="1064" w:type="dxa"/>
                  <w:vAlign w:val="center"/>
                </w:tcPr>
                <w:p w14:paraId="628D57C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0.11</w:t>
                  </w:r>
                </w:p>
              </w:tc>
              <w:tc>
                <w:tcPr>
                  <w:tcW w:w="1064" w:type="dxa"/>
                  <w:vAlign w:val="center"/>
                </w:tcPr>
                <w:p w14:paraId="2F5942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1.932</w:t>
                  </w:r>
                </w:p>
              </w:tc>
            </w:tr>
            <w:tr w14:paraId="03B0A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998" w:type="dxa"/>
                  <w:gridSpan w:val="10"/>
                  <w:vAlign w:val="center"/>
                </w:tcPr>
                <w:p w14:paraId="6B43F58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备注：二氧化硫未检出，排放速率根据检出限的一半（检出限为2mg/m³）计算得出；</w:t>
                  </w:r>
                </w:p>
                <w:p w14:paraId="5951376D">
                  <w:pPr>
                    <w:keepNext w:val="0"/>
                    <w:keepLines w:val="0"/>
                    <w:pageBreakBefore w:val="0"/>
                    <w:widowControl w:val="0"/>
                    <w:kinsoku/>
                    <w:wordWrap/>
                    <w:overflowPunct/>
                    <w:topLinePunct w:val="0"/>
                    <w:autoSpaceDE w:val="0"/>
                    <w:autoSpaceDN w:val="0"/>
                    <w:bidi w:val="0"/>
                    <w:adjustRightInd w:val="0"/>
                    <w:snapToGrid w:val="0"/>
                    <w:spacing w:line="240" w:lineRule="auto"/>
                    <w:ind w:firstLine="630" w:firstLineChars="300"/>
                    <w:jc w:val="both"/>
                    <w:textAlignment w:val="auto"/>
                    <w:rPr>
                      <w:rFonts w:hint="eastAsia" w:cs="Times New Roman"/>
                      <w:b w:val="0"/>
                      <w:bCs w:val="0"/>
                      <w:color w:val="auto"/>
                      <w:sz w:val="21"/>
                      <w:szCs w:val="21"/>
                      <w:highlight w:val="none"/>
                      <w:vertAlign w:val="baseline"/>
                      <w:lang w:val="en-US" w:eastAsia="zh-CN"/>
                    </w:rPr>
                  </w:pPr>
                  <w:r>
                    <w:rPr>
                      <w:rFonts w:hint="eastAsia" w:cs="Times New Roman"/>
                      <w:b w:val="0"/>
                      <w:bCs w:val="0"/>
                      <w:color w:val="auto"/>
                      <w:sz w:val="21"/>
                      <w:szCs w:val="21"/>
                      <w:highlight w:val="none"/>
                      <w:vertAlign w:val="baseline"/>
                      <w:lang w:val="en-US" w:eastAsia="zh-CN"/>
                    </w:rPr>
                    <w:t>氮氧化物引用2025年氮氧化物全年在线数据。</w:t>
                  </w:r>
                </w:p>
              </w:tc>
            </w:tr>
          </w:tbl>
          <w:p w14:paraId="7C67E07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黑体" w:cs="Times New Roman"/>
                <w:b w:val="0"/>
                <w:bCs/>
                <w:color w:val="auto"/>
                <w:spacing w:val="0"/>
                <w:position w:val="0"/>
                <w:sz w:val="21"/>
                <w:szCs w:val="16"/>
                <w:highlight w:val="none"/>
                <w:lang w:val="en-US" w:eastAsia="zh-CN"/>
              </w:rPr>
            </w:pPr>
          </w:p>
          <w:p w14:paraId="0B06E59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b/>
                <w:bCs/>
                <w:color w:val="auto"/>
                <w:sz w:val="24"/>
                <w:szCs w:val="24"/>
                <w:highlight w:val="none"/>
                <w:lang w:val="en-US" w:eastAsia="zh-CN"/>
              </w:rPr>
            </w:pPr>
            <w:r>
              <w:rPr>
                <w:rFonts w:hint="default" w:ascii="Times New Roman" w:hAnsi="Times New Roman" w:eastAsia="黑体" w:cs="Times New Roman"/>
                <w:b w:val="0"/>
                <w:bCs/>
                <w:color w:val="auto"/>
                <w:spacing w:val="0"/>
                <w:position w:val="0"/>
                <w:sz w:val="21"/>
                <w:szCs w:val="16"/>
                <w:highlight w:val="none"/>
                <w:lang w:val="en-US" w:eastAsia="zh-CN"/>
              </w:rPr>
              <w:t>表</w:t>
            </w:r>
            <w:r>
              <w:rPr>
                <w:rFonts w:hint="eastAsia" w:ascii="Times New Roman" w:hAnsi="Times New Roman" w:eastAsia="黑体" w:cs="Times New Roman"/>
                <w:b w:val="0"/>
                <w:bCs/>
                <w:color w:val="auto"/>
                <w:spacing w:val="0"/>
                <w:position w:val="0"/>
                <w:sz w:val="21"/>
                <w:szCs w:val="16"/>
                <w:highlight w:val="none"/>
                <w:lang w:val="en-US" w:eastAsia="zh-CN"/>
              </w:rPr>
              <w:t>2.12-2</w:t>
            </w:r>
            <w:r>
              <w:rPr>
                <w:rFonts w:hint="default" w:ascii="Times New Roman" w:hAnsi="Times New Roman" w:eastAsia="黑体" w:cs="Times New Roman"/>
                <w:b w:val="0"/>
                <w:bCs/>
                <w:color w:val="auto"/>
                <w:spacing w:val="0"/>
                <w:position w:val="0"/>
                <w:sz w:val="21"/>
                <w:szCs w:val="16"/>
                <w:highlight w:val="none"/>
                <w:lang w:val="en-US" w:eastAsia="zh-CN"/>
              </w:rPr>
              <w:t xml:space="preserve"> </w:t>
            </w:r>
            <w:r>
              <w:rPr>
                <w:rFonts w:hint="eastAsia" w:ascii="Times New Roman" w:hAnsi="Times New Roman" w:eastAsia="黑体" w:cs="Times New Roman"/>
                <w:b w:val="0"/>
                <w:bCs/>
                <w:color w:val="auto"/>
                <w:spacing w:val="0"/>
                <w:position w:val="0"/>
                <w:sz w:val="21"/>
                <w:szCs w:val="16"/>
                <w:highlight w:val="none"/>
                <w:lang w:val="en-US" w:eastAsia="zh-CN"/>
              </w:rPr>
              <w:t xml:space="preserve">  </w:t>
            </w:r>
            <w:r>
              <w:rPr>
                <w:rFonts w:hint="default" w:ascii="Times New Roman" w:hAnsi="Times New Roman" w:eastAsia="黑体" w:cs="Times New Roman"/>
                <w:b w:val="0"/>
                <w:bCs/>
                <w:color w:val="auto"/>
                <w:spacing w:val="0"/>
                <w:position w:val="0"/>
                <w:sz w:val="21"/>
                <w:szCs w:val="16"/>
                <w:highlight w:val="none"/>
                <w:lang w:val="en-US" w:eastAsia="zh-CN"/>
              </w:rPr>
              <w:t>污染物实际排放量达标分析</w:t>
            </w:r>
          </w:p>
          <w:tbl>
            <w:tblPr>
              <w:tblStyle w:val="25"/>
              <w:tblW w:w="801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785"/>
              <w:gridCol w:w="915"/>
              <w:gridCol w:w="1076"/>
              <w:gridCol w:w="1111"/>
              <w:gridCol w:w="2455"/>
            </w:tblGrid>
            <w:tr w14:paraId="1F9B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420" w:type="pct"/>
                  <w:tcBorders>
                    <w:tl2br w:val="nil"/>
                    <w:tr2bl w:val="nil"/>
                  </w:tcBorders>
                  <w:noWrap w:val="0"/>
                  <w:vAlign w:val="center"/>
                </w:tcPr>
                <w:p w14:paraId="48F97E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序号</w:t>
                  </w:r>
                </w:p>
              </w:tc>
              <w:tc>
                <w:tcPr>
                  <w:tcW w:w="1113" w:type="pct"/>
                  <w:tcBorders>
                    <w:tl2br w:val="nil"/>
                    <w:tr2bl w:val="nil"/>
                  </w:tcBorders>
                  <w:noWrap w:val="0"/>
                  <w:vAlign w:val="center"/>
                </w:tcPr>
                <w:p w14:paraId="6715EB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项目</w:t>
                  </w:r>
                </w:p>
              </w:tc>
              <w:tc>
                <w:tcPr>
                  <w:tcW w:w="570" w:type="pct"/>
                  <w:tcBorders>
                    <w:tl2br w:val="nil"/>
                    <w:tr2bl w:val="nil"/>
                  </w:tcBorders>
                  <w:noWrap w:val="0"/>
                  <w:vAlign w:val="center"/>
                </w:tcPr>
                <w:p w14:paraId="0834A6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烟尘</w:t>
                  </w:r>
                </w:p>
              </w:tc>
              <w:tc>
                <w:tcPr>
                  <w:tcW w:w="671" w:type="pct"/>
                  <w:tcBorders>
                    <w:tl2br w:val="nil"/>
                    <w:tr2bl w:val="nil"/>
                  </w:tcBorders>
                  <w:noWrap w:val="0"/>
                  <w:vAlign w:val="center"/>
                </w:tcPr>
                <w:p w14:paraId="01B4C3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SO</w:t>
                  </w:r>
                  <w:r>
                    <w:rPr>
                      <w:rFonts w:hint="default" w:ascii="Times New Roman" w:hAnsi="Times New Roman" w:cs="Times New Roman"/>
                      <w:color w:val="auto"/>
                      <w:sz w:val="21"/>
                      <w:szCs w:val="21"/>
                      <w:highlight w:val="none"/>
                      <w:vertAlign w:val="subscript"/>
                      <w:lang w:val="en-US" w:eastAsia="zh-CN"/>
                    </w:rPr>
                    <w:t>2</w:t>
                  </w:r>
                </w:p>
              </w:tc>
              <w:tc>
                <w:tcPr>
                  <w:tcW w:w="692" w:type="pct"/>
                  <w:tcBorders>
                    <w:tl2br w:val="nil"/>
                    <w:tr2bl w:val="nil"/>
                  </w:tcBorders>
                  <w:noWrap w:val="0"/>
                  <w:vAlign w:val="center"/>
                </w:tcPr>
                <w:p w14:paraId="56DCE0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NOx</w:t>
                  </w:r>
                </w:p>
              </w:tc>
              <w:tc>
                <w:tcPr>
                  <w:tcW w:w="1531" w:type="pct"/>
                  <w:tcBorders>
                    <w:tl2br w:val="nil"/>
                    <w:tr2bl w:val="nil"/>
                  </w:tcBorders>
                  <w:noWrap w:val="0"/>
                  <w:vAlign w:val="center"/>
                </w:tcPr>
                <w:p w14:paraId="68C194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备注</w:t>
                  </w:r>
                </w:p>
              </w:tc>
            </w:tr>
            <w:tr w14:paraId="4BCE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420" w:type="pct"/>
                  <w:tcBorders>
                    <w:tl2br w:val="nil"/>
                    <w:tr2bl w:val="nil"/>
                  </w:tcBorders>
                  <w:noWrap w:val="0"/>
                  <w:vAlign w:val="center"/>
                </w:tcPr>
                <w:p w14:paraId="58415D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1</w:t>
                  </w:r>
                </w:p>
              </w:tc>
              <w:tc>
                <w:tcPr>
                  <w:tcW w:w="1113" w:type="pct"/>
                  <w:tcBorders>
                    <w:tl2br w:val="nil"/>
                    <w:tr2bl w:val="nil"/>
                  </w:tcBorders>
                  <w:noWrap w:val="0"/>
                  <w:vAlign w:val="center"/>
                </w:tcPr>
                <w:p w14:paraId="6FF177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总量控制指标</w:t>
                  </w:r>
                  <w:r>
                    <w:rPr>
                      <w:rFonts w:hint="eastAsia" w:cs="Times New Roman"/>
                      <w:color w:val="auto"/>
                      <w:sz w:val="21"/>
                      <w:szCs w:val="21"/>
                      <w:highlight w:val="none"/>
                      <w:vertAlign w:val="baseline"/>
                      <w:lang w:val="en-US" w:eastAsia="zh-CN"/>
                    </w:rPr>
                    <w:t>t/a</w:t>
                  </w:r>
                </w:p>
              </w:tc>
              <w:tc>
                <w:tcPr>
                  <w:tcW w:w="570" w:type="pct"/>
                  <w:tcBorders>
                    <w:tl2br w:val="nil"/>
                    <w:tr2bl w:val="nil"/>
                  </w:tcBorders>
                  <w:noWrap w:val="0"/>
                  <w:vAlign w:val="center"/>
                </w:tcPr>
                <w:p w14:paraId="22D26B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37.7</w:t>
                  </w:r>
                </w:p>
              </w:tc>
              <w:tc>
                <w:tcPr>
                  <w:tcW w:w="671" w:type="pct"/>
                  <w:tcBorders>
                    <w:tl2br w:val="nil"/>
                    <w:tr2bl w:val="nil"/>
                  </w:tcBorders>
                  <w:noWrap w:val="0"/>
                  <w:vAlign w:val="center"/>
                </w:tcPr>
                <w:p w14:paraId="67B476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45.44</w:t>
                  </w:r>
                </w:p>
              </w:tc>
              <w:tc>
                <w:tcPr>
                  <w:tcW w:w="692" w:type="pct"/>
                  <w:tcBorders>
                    <w:tl2br w:val="nil"/>
                    <w:tr2bl w:val="nil"/>
                  </w:tcBorders>
                  <w:noWrap w:val="0"/>
                  <w:vAlign w:val="center"/>
                </w:tcPr>
                <w:p w14:paraId="3B80609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1531" w:type="pct"/>
                  <w:tcBorders>
                    <w:tl2br w:val="nil"/>
                    <w:tr2bl w:val="nil"/>
                  </w:tcBorders>
                  <w:noWrap w:val="0"/>
                  <w:vAlign w:val="center"/>
                </w:tcPr>
                <w:p w14:paraId="6D5488F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晋环函〔2011〕1293号</w:t>
                  </w:r>
                </w:p>
              </w:tc>
            </w:tr>
            <w:tr w14:paraId="62DC5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0" w:type="pct"/>
                  <w:tcBorders>
                    <w:tl2br w:val="nil"/>
                    <w:tr2bl w:val="nil"/>
                  </w:tcBorders>
                  <w:noWrap w:val="0"/>
                  <w:vAlign w:val="center"/>
                </w:tcPr>
                <w:p w14:paraId="73F3F9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2</w:t>
                  </w:r>
                </w:p>
              </w:tc>
              <w:tc>
                <w:tcPr>
                  <w:tcW w:w="1113" w:type="pct"/>
                  <w:tcBorders>
                    <w:tl2br w:val="nil"/>
                    <w:tr2bl w:val="nil"/>
                  </w:tcBorders>
                  <w:noWrap w:val="0"/>
                  <w:vAlign w:val="center"/>
                </w:tcPr>
                <w:p w14:paraId="0022E8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排污许可证许可排放量</w:t>
                  </w:r>
                  <w:r>
                    <w:rPr>
                      <w:rFonts w:hint="eastAsia" w:cs="Times New Roman"/>
                      <w:color w:val="auto"/>
                      <w:sz w:val="21"/>
                      <w:szCs w:val="21"/>
                      <w:highlight w:val="none"/>
                      <w:vertAlign w:val="baseline"/>
                      <w:lang w:val="en-US" w:eastAsia="zh-CN"/>
                    </w:rPr>
                    <w:t>t/a</w:t>
                  </w:r>
                </w:p>
              </w:tc>
              <w:tc>
                <w:tcPr>
                  <w:tcW w:w="570" w:type="pct"/>
                  <w:tcBorders>
                    <w:tl2br w:val="nil"/>
                    <w:tr2bl w:val="nil"/>
                  </w:tcBorders>
                  <w:noWrap w:val="0"/>
                  <w:vAlign w:val="center"/>
                </w:tcPr>
                <w:p w14:paraId="384174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eastAsia="宋体" w:cs="Times New Roman"/>
                      <w:color w:val="auto"/>
                      <w:highlight w:val="none"/>
                      <w:lang w:val="en-US" w:eastAsia="zh-CN"/>
                    </w:rPr>
                    <w:t>/</w:t>
                  </w:r>
                </w:p>
              </w:tc>
              <w:tc>
                <w:tcPr>
                  <w:tcW w:w="671" w:type="pct"/>
                  <w:tcBorders>
                    <w:tl2br w:val="nil"/>
                    <w:tr2bl w:val="nil"/>
                  </w:tcBorders>
                  <w:noWrap w:val="0"/>
                  <w:vAlign w:val="center"/>
                </w:tcPr>
                <w:p w14:paraId="7E6C16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eastAsia="宋体" w:cs="Times New Roman"/>
                      <w:color w:val="auto"/>
                      <w:highlight w:val="none"/>
                      <w:lang w:val="en-US" w:eastAsia="zh-CN"/>
                    </w:rPr>
                    <w:t>/</w:t>
                  </w:r>
                </w:p>
              </w:tc>
              <w:tc>
                <w:tcPr>
                  <w:tcW w:w="692" w:type="pct"/>
                  <w:tcBorders>
                    <w:tl2br w:val="nil"/>
                    <w:tr2bl w:val="nil"/>
                  </w:tcBorders>
                  <w:noWrap w:val="0"/>
                  <w:vAlign w:val="center"/>
                </w:tcPr>
                <w:p w14:paraId="692EE9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10.596</w:t>
                  </w:r>
                </w:p>
              </w:tc>
              <w:tc>
                <w:tcPr>
                  <w:tcW w:w="1531" w:type="pct"/>
                  <w:tcBorders>
                    <w:tl2br w:val="nil"/>
                    <w:tr2bl w:val="nil"/>
                  </w:tcBorders>
                  <w:noWrap w:val="0"/>
                  <w:vAlign w:val="center"/>
                </w:tcPr>
                <w:p w14:paraId="320C69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排污许可证（911400006966963599001Y）</w:t>
                  </w:r>
                  <w:r>
                    <w:rPr>
                      <w:rFonts w:hint="eastAsia" w:cs="Times New Roman"/>
                      <w:color w:val="auto"/>
                      <w:sz w:val="21"/>
                      <w:szCs w:val="21"/>
                      <w:highlight w:val="none"/>
                      <w:vertAlign w:val="baseline"/>
                      <w:lang w:val="en-US" w:eastAsia="zh-CN"/>
                    </w:rPr>
                    <w:t>中主井工业场地4台燃气锅炉许可排放量</w:t>
                  </w:r>
                </w:p>
              </w:tc>
            </w:tr>
            <w:tr w14:paraId="609B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420" w:type="pct"/>
                  <w:tcBorders>
                    <w:tl2br w:val="nil"/>
                    <w:tr2bl w:val="nil"/>
                  </w:tcBorders>
                  <w:noWrap w:val="0"/>
                  <w:vAlign w:val="center"/>
                </w:tcPr>
                <w:p w14:paraId="51AAE1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3</w:t>
                  </w:r>
                </w:p>
              </w:tc>
              <w:tc>
                <w:tcPr>
                  <w:tcW w:w="1113" w:type="pct"/>
                  <w:tcBorders>
                    <w:tl2br w:val="nil"/>
                    <w:tr2bl w:val="nil"/>
                  </w:tcBorders>
                  <w:noWrap w:val="0"/>
                  <w:vAlign w:val="center"/>
                </w:tcPr>
                <w:p w14:paraId="0EE4B7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实际排放量</w:t>
                  </w:r>
                  <w:r>
                    <w:rPr>
                      <w:rFonts w:hint="eastAsia" w:cs="Times New Roman"/>
                      <w:color w:val="auto"/>
                      <w:sz w:val="21"/>
                      <w:szCs w:val="21"/>
                      <w:highlight w:val="none"/>
                      <w:vertAlign w:val="baseline"/>
                      <w:lang w:val="en-US" w:eastAsia="zh-CN"/>
                    </w:rPr>
                    <w:t>t/a</w:t>
                  </w:r>
                </w:p>
              </w:tc>
              <w:tc>
                <w:tcPr>
                  <w:tcW w:w="570" w:type="pct"/>
                  <w:tcBorders>
                    <w:tl2br w:val="nil"/>
                    <w:tr2bl w:val="nil"/>
                  </w:tcBorders>
                  <w:noWrap w:val="0"/>
                  <w:vAlign w:val="center"/>
                </w:tcPr>
                <w:p w14:paraId="436B44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0.358</w:t>
                  </w:r>
                </w:p>
              </w:tc>
              <w:tc>
                <w:tcPr>
                  <w:tcW w:w="671" w:type="pct"/>
                  <w:tcBorders>
                    <w:tl2br w:val="nil"/>
                    <w:tr2bl w:val="nil"/>
                  </w:tcBorders>
                  <w:noWrap w:val="0"/>
                  <w:vAlign w:val="center"/>
                </w:tcPr>
                <w:p w14:paraId="6721AE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0</w:t>
                  </w:r>
                  <w:r>
                    <w:rPr>
                      <w:rFonts w:hint="eastAsia" w:cs="Times New Roman"/>
                      <w:color w:val="auto"/>
                      <w:sz w:val="21"/>
                      <w:szCs w:val="21"/>
                      <w:highlight w:val="none"/>
                      <w:vertAlign w:val="baseline"/>
                      <w:lang w:val="en-US" w:eastAsia="zh-CN"/>
                    </w:rPr>
                    <w:t>.11</w:t>
                  </w:r>
                </w:p>
              </w:tc>
              <w:tc>
                <w:tcPr>
                  <w:tcW w:w="692" w:type="pct"/>
                  <w:tcBorders>
                    <w:tl2br w:val="nil"/>
                    <w:tr2bl w:val="nil"/>
                  </w:tcBorders>
                  <w:noWrap w:val="0"/>
                  <w:vAlign w:val="center"/>
                </w:tcPr>
                <w:p w14:paraId="3A03F8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1.932</w:t>
                  </w:r>
                </w:p>
              </w:tc>
              <w:tc>
                <w:tcPr>
                  <w:tcW w:w="1531" w:type="pct"/>
                  <w:tcBorders>
                    <w:tl2br w:val="nil"/>
                    <w:tr2bl w:val="nil"/>
                  </w:tcBorders>
                  <w:noWrap w:val="0"/>
                  <w:vAlign w:val="center"/>
                </w:tcPr>
                <w:p w14:paraId="3AB904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r w14:paraId="1F058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534" w:type="pct"/>
                  <w:gridSpan w:val="2"/>
                  <w:tcBorders>
                    <w:tl2br w:val="nil"/>
                    <w:tr2bl w:val="nil"/>
                  </w:tcBorders>
                  <w:noWrap w:val="0"/>
                  <w:vAlign w:val="center"/>
                </w:tcPr>
                <w:p w14:paraId="6FE9AF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是否</w:t>
                  </w:r>
                  <w:r>
                    <w:rPr>
                      <w:rFonts w:hint="eastAsia" w:ascii="Times New Roman" w:hAnsi="Times New Roman" w:cs="Times New Roman"/>
                      <w:color w:val="auto"/>
                      <w:sz w:val="21"/>
                      <w:szCs w:val="21"/>
                      <w:highlight w:val="none"/>
                      <w:vertAlign w:val="baseline"/>
                      <w:lang w:val="en-US" w:eastAsia="zh-CN"/>
                    </w:rPr>
                    <w:t>满足</w:t>
                  </w:r>
                </w:p>
              </w:tc>
              <w:tc>
                <w:tcPr>
                  <w:tcW w:w="570" w:type="pct"/>
                  <w:tcBorders>
                    <w:tl2br w:val="nil"/>
                    <w:tr2bl w:val="nil"/>
                  </w:tcBorders>
                  <w:noWrap w:val="0"/>
                  <w:vAlign w:val="center"/>
                </w:tcPr>
                <w:p w14:paraId="0422F3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满足</w:t>
                  </w:r>
                </w:p>
              </w:tc>
              <w:tc>
                <w:tcPr>
                  <w:tcW w:w="671" w:type="pct"/>
                  <w:tcBorders>
                    <w:tl2br w:val="nil"/>
                    <w:tr2bl w:val="nil"/>
                  </w:tcBorders>
                  <w:noWrap w:val="0"/>
                  <w:vAlign w:val="center"/>
                </w:tcPr>
                <w:p w14:paraId="39C58E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满足</w:t>
                  </w:r>
                </w:p>
              </w:tc>
              <w:tc>
                <w:tcPr>
                  <w:tcW w:w="692" w:type="pct"/>
                  <w:tcBorders>
                    <w:tl2br w:val="nil"/>
                    <w:tr2bl w:val="nil"/>
                  </w:tcBorders>
                  <w:noWrap w:val="0"/>
                  <w:vAlign w:val="center"/>
                </w:tcPr>
                <w:p w14:paraId="7F5ADC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满足</w:t>
                  </w:r>
                </w:p>
              </w:tc>
              <w:tc>
                <w:tcPr>
                  <w:tcW w:w="1531" w:type="pct"/>
                  <w:tcBorders>
                    <w:tl2br w:val="nil"/>
                    <w:tr2bl w:val="nil"/>
                  </w:tcBorders>
                  <w:noWrap w:val="0"/>
                  <w:vAlign w:val="center"/>
                </w:tcPr>
                <w:p w14:paraId="1757F7E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highlight w:val="none"/>
                      <w:vertAlign w:val="baseline"/>
                      <w:lang w:val="en-US" w:eastAsia="zh-CN"/>
                    </w:rPr>
                  </w:pPr>
                  <w:r>
                    <w:rPr>
                      <w:rFonts w:hint="default" w:ascii="Times New Roman" w:hAnsi="Times New Roman" w:cs="Times New Roman"/>
                      <w:color w:val="auto"/>
                      <w:sz w:val="21"/>
                      <w:szCs w:val="21"/>
                      <w:highlight w:val="none"/>
                      <w:vertAlign w:val="baseline"/>
                      <w:lang w:val="en-US" w:eastAsia="zh-CN"/>
                    </w:rPr>
                    <w:t>/</w:t>
                  </w:r>
                </w:p>
              </w:tc>
            </w:tr>
          </w:tbl>
          <w:p w14:paraId="6056514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sz w:val="24"/>
                <w:lang w:val="en-US" w:eastAsia="zh-CN"/>
              </w:rPr>
            </w:pPr>
            <w:r>
              <w:rPr>
                <w:rFonts w:hint="eastAsia" w:ascii="Times New Roman" w:hAnsi="Times New Roman" w:eastAsia="宋体" w:cs="Times New Roman"/>
                <w:b w:val="0"/>
                <w:bCs w:val="0"/>
                <w:color w:val="auto"/>
                <w:sz w:val="24"/>
                <w:lang w:val="en-US" w:eastAsia="zh-CN"/>
              </w:rPr>
              <w:t>对比可知，现有工程锅炉污染物排放量符合总量控制的要求。</w:t>
            </w:r>
          </w:p>
          <w:p w14:paraId="5D86F15F">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textAlignment w:val="auto"/>
              <w:rPr>
                <w:rFonts w:hint="default" w:ascii="Times New Roman" w:hAnsi="Times New Roman" w:eastAsia="宋体" w:cs="Times New Roman"/>
                <w:b/>
                <w:bCs/>
                <w:color w:val="auto"/>
                <w:sz w:val="24"/>
                <w:szCs w:val="24"/>
                <w:highlight w:val="none"/>
                <w:lang w:val="en-US" w:eastAsia="zh-CN"/>
              </w:rPr>
            </w:pPr>
            <w:r>
              <w:rPr>
                <w:rFonts w:hint="eastAsia" w:ascii="Times New Roman" w:hAnsi="Times New Roman" w:eastAsia="宋体" w:cs="Times New Roman"/>
                <w:b/>
                <w:bCs/>
                <w:color w:val="auto"/>
                <w:sz w:val="24"/>
                <w:szCs w:val="24"/>
                <w:highlight w:val="none"/>
                <w:lang w:val="en-US" w:eastAsia="zh-CN"/>
              </w:rPr>
              <w:t>2.1</w:t>
            </w:r>
            <w:r>
              <w:rPr>
                <w:rFonts w:hint="eastAsia" w:cs="Times New Roman"/>
                <w:b/>
                <w:bCs/>
                <w:color w:val="auto"/>
                <w:sz w:val="24"/>
                <w:szCs w:val="24"/>
                <w:highlight w:val="none"/>
                <w:lang w:val="en-US" w:eastAsia="zh-CN"/>
              </w:rPr>
              <w:t>3 现有工程存在的环境问题</w:t>
            </w:r>
          </w:p>
          <w:p w14:paraId="747F829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r>
              <w:rPr>
                <w:rFonts w:hint="eastAsia" w:ascii="Times New Roman" w:hAnsi="Times New Roman" w:eastAsia="宋体" w:cs="Times New Roman"/>
                <w:bCs/>
                <w:color w:val="auto"/>
                <w:spacing w:val="0"/>
                <w:sz w:val="24"/>
                <w:szCs w:val="24"/>
                <w:highlight w:val="none"/>
                <w:lang w:val="en-US" w:eastAsia="zh-CN"/>
              </w:rPr>
              <w:t>无。</w:t>
            </w:r>
          </w:p>
          <w:p w14:paraId="39C76E7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641B160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593A121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438E8DB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1C4D5A1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2BBB1878">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4152A7A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0F731A6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4FF4F57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0B19C92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2B7F7A4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25C5DEB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08AD8C87">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69C2652B">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6BE7D1D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611AC3CF">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06FEA70C">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3CEEEDC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val="en-US" w:eastAsia="zh-CN"/>
              </w:rPr>
            </w:pPr>
          </w:p>
          <w:p w14:paraId="1137CBF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pacing w:val="0"/>
                <w:sz w:val="24"/>
                <w:szCs w:val="24"/>
                <w:highlight w:val="none"/>
                <w:lang w:val="en-US" w:eastAsia="zh-CN"/>
              </w:rPr>
            </w:pPr>
          </w:p>
          <w:p w14:paraId="04A021F1">
            <w:pPr>
              <w:rPr>
                <w:rFonts w:hint="default"/>
                <w:color w:val="auto"/>
                <w:lang w:val="en-US" w:eastAsia="zh-CN"/>
              </w:rPr>
            </w:pPr>
          </w:p>
        </w:tc>
      </w:tr>
    </w:tbl>
    <w:p w14:paraId="5FC221E8">
      <w:pPr>
        <w:pStyle w:val="19"/>
        <w:jc w:val="center"/>
        <w:outlineLvl w:val="0"/>
        <w:rPr>
          <w:rFonts w:hint="default" w:ascii="Times New Roman" w:hAnsi="Times New Roman" w:eastAsia="黑体" w:cs="Times New Roman"/>
          <w:snapToGrid w:val="0"/>
          <w:color w:val="auto"/>
          <w:sz w:val="30"/>
          <w:szCs w:val="30"/>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bookmarkStart w:id="6" w:name="_Toc3155"/>
    </w:p>
    <w:p w14:paraId="63473011">
      <w:pPr>
        <w:pStyle w:val="19"/>
        <w:jc w:val="center"/>
        <w:outlineLvl w:val="0"/>
        <w:rPr>
          <w:rFonts w:hint="default" w:ascii="Times New Roman" w:hAnsi="Times New Roman" w:eastAsia="黑体" w:cs="Times New Roman"/>
          <w:snapToGrid w:val="0"/>
          <w:color w:val="auto"/>
          <w:sz w:val="30"/>
          <w:szCs w:val="30"/>
          <w:highlight w:val="none"/>
        </w:rPr>
      </w:pPr>
      <w:bookmarkStart w:id="21" w:name="_GoBack"/>
      <w:bookmarkEnd w:id="21"/>
      <w:r>
        <w:rPr>
          <w:rFonts w:hint="default" w:ascii="Times New Roman" w:hAnsi="Times New Roman" w:eastAsia="黑体" w:cs="Times New Roman"/>
          <w:snapToGrid w:val="0"/>
          <w:color w:val="auto"/>
          <w:sz w:val="30"/>
          <w:szCs w:val="30"/>
          <w:highlight w:val="none"/>
        </w:rPr>
        <w:t>三、区域环境质量现状、环境保护目标及评价标准</w:t>
      </w:r>
      <w:bookmarkEnd w:id="6"/>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79EBC5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0" w:type="dxa"/>
            <w:vAlign w:val="center"/>
          </w:tcPr>
          <w:p w14:paraId="56B91B35">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区域</w:t>
            </w:r>
          </w:p>
          <w:p w14:paraId="1E1FAF75">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环境</w:t>
            </w:r>
          </w:p>
          <w:p w14:paraId="0DB21016">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质量</w:t>
            </w:r>
          </w:p>
          <w:p w14:paraId="06309C96">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现状</w:t>
            </w:r>
          </w:p>
        </w:tc>
        <w:tc>
          <w:tcPr>
            <w:tcW w:w="8190" w:type="dxa"/>
            <w:vAlign w:val="center"/>
          </w:tcPr>
          <w:p w14:paraId="417290DC">
            <w:pPr>
              <w:pStyle w:val="4"/>
              <w:keepNext/>
              <w:keepLines/>
              <w:pageBreakBefore w:val="0"/>
              <w:widowControl w:val="0"/>
              <w:kinsoku/>
              <w:wordWrap/>
              <w:overflowPunct/>
              <w:topLinePunct w:val="0"/>
              <w:autoSpaceDE/>
              <w:autoSpaceDN/>
              <w:bidi w:val="0"/>
              <w:adjustRightInd w:val="0"/>
              <w:snapToGrid w:val="0"/>
              <w:spacing w:before="0" w:line="480" w:lineRule="exact"/>
              <w:ind w:firstLine="482"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eastAsia" w:ascii="Times New Roman" w:hAnsi="Times New Roman" w:eastAsia="宋体" w:cs="Times New Roman"/>
                <w:color w:val="auto"/>
                <w:spacing w:val="0"/>
                <w:position w:val="0"/>
                <w:sz w:val="24"/>
                <w:szCs w:val="24"/>
                <w:highlight w:val="none"/>
                <w:lang w:val="en-US" w:eastAsia="zh-CN"/>
              </w:rPr>
              <w:t>3.1 大气环境</w:t>
            </w:r>
          </w:p>
          <w:p w14:paraId="456A6A6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baseline"/>
              <w:rPr>
                <w:rFonts w:hint="default" w:ascii="Times New Roman" w:hAnsi="Times New Roman" w:eastAsia="宋体" w:cs="Times New Roman"/>
                <w:bCs/>
                <w:color w:val="auto"/>
                <w:spacing w:val="0"/>
                <w:position w:val="0"/>
                <w:sz w:val="24"/>
                <w:highlight w:val="none"/>
                <w:lang w:val="en-US" w:eastAsia="zh-CN"/>
              </w:rPr>
            </w:pPr>
            <w:r>
              <w:rPr>
                <w:rFonts w:hint="eastAsia" w:eastAsia="宋体" w:cs="Times New Roman"/>
                <w:color w:val="auto"/>
                <w:spacing w:val="0"/>
                <w:position w:val="0"/>
                <w:sz w:val="24"/>
                <w:szCs w:val="24"/>
                <w:highlight w:val="none"/>
                <w:lang w:val="en-US" w:eastAsia="zh-CN" w:bidi="ar-SA"/>
              </w:rPr>
              <w:t>*</w:t>
            </w:r>
          </w:p>
          <w:p w14:paraId="7C4594DC">
            <w:pPr>
              <w:pStyle w:val="4"/>
              <w:keepNext/>
              <w:keepLines/>
              <w:pageBreakBefore w:val="0"/>
              <w:widowControl w:val="0"/>
              <w:kinsoku/>
              <w:wordWrap/>
              <w:overflowPunct/>
              <w:topLinePunct w:val="0"/>
              <w:autoSpaceDE/>
              <w:autoSpaceDN/>
              <w:bidi w:val="0"/>
              <w:adjustRightInd w:val="0"/>
              <w:snapToGrid w:val="0"/>
              <w:spacing w:before="0" w:line="480" w:lineRule="exact"/>
              <w:ind w:firstLine="482" w:firstLineChars="200"/>
              <w:jc w:val="both"/>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eastAsia" w:ascii="Times New Roman" w:hAnsi="Times New Roman" w:eastAsia="宋体" w:cs="Times New Roman"/>
                <w:color w:val="auto"/>
                <w:spacing w:val="0"/>
                <w:position w:val="0"/>
                <w:sz w:val="24"/>
                <w:szCs w:val="24"/>
                <w:highlight w:val="none"/>
                <w:lang w:val="en-US" w:eastAsia="zh-CN"/>
              </w:rPr>
              <w:t xml:space="preserve">3.4 </w:t>
            </w:r>
            <w:r>
              <w:rPr>
                <w:rFonts w:hint="default" w:ascii="Times New Roman" w:hAnsi="Times New Roman" w:eastAsia="宋体" w:cs="Times New Roman"/>
                <w:color w:val="auto"/>
                <w:spacing w:val="0"/>
                <w:position w:val="0"/>
                <w:sz w:val="24"/>
                <w:szCs w:val="24"/>
                <w:highlight w:val="none"/>
                <w:lang w:val="en-US" w:eastAsia="zh-CN"/>
              </w:rPr>
              <w:t>生态环境</w:t>
            </w:r>
          </w:p>
          <w:p w14:paraId="36A0E83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eastAsia="zh-CN"/>
              </w:rPr>
              <w:t>本项目在现有工业场地</w:t>
            </w:r>
            <w:r>
              <w:rPr>
                <w:rFonts w:hint="eastAsia" w:cs="Times New Roman"/>
                <w:color w:val="auto"/>
                <w:spacing w:val="0"/>
                <w:position w:val="0"/>
                <w:sz w:val="24"/>
                <w:szCs w:val="24"/>
                <w:highlight w:val="none"/>
                <w:lang w:val="en-US" w:eastAsia="zh-CN"/>
              </w:rPr>
              <w:t>锅炉房</w:t>
            </w:r>
            <w:r>
              <w:rPr>
                <w:rFonts w:hint="default" w:ascii="Times New Roman" w:hAnsi="Times New Roman" w:eastAsia="宋体" w:cs="Times New Roman"/>
                <w:color w:val="auto"/>
                <w:spacing w:val="0"/>
                <w:position w:val="0"/>
                <w:sz w:val="24"/>
                <w:szCs w:val="24"/>
                <w:highlight w:val="none"/>
                <w:lang w:eastAsia="zh-CN"/>
              </w:rPr>
              <w:t>内进行建设，不新增</w:t>
            </w:r>
            <w:r>
              <w:rPr>
                <w:rFonts w:hint="eastAsia" w:cs="Times New Roman"/>
                <w:color w:val="auto"/>
                <w:spacing w:val="0"/>
                <w:position w:val="0"/>
                <w:sz w:val="24"/>
                <w:szCs w:val="24"/>
                <w:highlight w:val="none"/>
                <w:lang w:val="en-US" w:eastAsia="zh-CN"/>
              </w:rPr>
              <w:t>用</w:t>
            </w:r>
            <w:r>
              <w:rPr>
                <w:rFonts w:hint="default" w:ascii="Times New Roman" w:hAnsi="Times New Roman" w:eastAsia="宋体" w:cs="Times New Roman"/>
                <w:color w:val="auto"/>
                <w:spacing w:val="0"/>
                <w:position w:val="0"/>
                <w:sz w:val="24"/>
                <w:szCs w:val="24"/>
                <w:highlight w:val="none"/>
                <w:lang w:eastAsia="zh-CN"/>
              </w:rPr>
              <w:t>地，且经调查，</w:t>
            </w:r>
            <w:r>
              <w:rPr>
                <w:rFonts w:hint="default" w:ascii="Times New Roman" w:hAnsi="Times New Roman" w:eastAsia="宋体" w:cs="Times New Roman"/>
                <w:color w:val="auto"/>
                <w:spacing w:val="0"/>
                <w:position w:val="0"/>
                <w:sz w:val="24"/>
                <w:szCs w:val="24"/>
                <w:highlight w:val="none"/>
                <w:lang w:val="en-US" w:eastAsia="zh-CN"/>
              </w:rPr>
              <w:t>项目</w:t>
            </w:r>
            <w:r>
              <w:rPr>
                <w:rFonts w:hint="default" w:ascii="Times New Roman" w:hAnsi="Times New Roman" w:eastAsia="宋体" w:cs="Times New Roman"/>
                <w:color w:val="auto"/>
                <w:spacing w:val="0"/>
                <w:kern w:val="0"/>
                <w:position w:val="0"/>
                <w:sz w:val="24"/>
                <w:szCs w:val="24"/>
                <w:highlight w:val="none"/>
                <w:lang w:val="en-US" w:eastAsia="zh-CN"/>
              </w:rPr>
              <w:t>不涉及自然保护区、风景名胜区、水源地、特殊地下水资源保护区、森林公园等环境保护敏感目标。</w:t>
            </w:r>
          </w:p>
          <w:p w14:paraId="71E264EB">
            <w:pPr>
              <w:pStyle w:val="4"/>
              <w:keepNext/>
              <w:keepLines/>
              <w:pageBreakBefore w:val="0"/>
              <w:widowControl w:val="0"/>
              <w:kinsoku/>
              <w:wordWrap/>
              <w:overflowPunct/>
              <w:topLinePunct w:val="0"/>
              <w:autoSpaceDE/>
              <w:autoSpaceDN/>
              <w:bidi w:val="0"/>
              <w:adjustRightInd w:val="0"/>
              <w:snapToGrid w:val="0"/>
              <w:spacing w:before="0" w:beforeLines="0" w:line="480" w:lineRule="exact"/>
              <w:ind w:firstLine="482" w:firstLineChars="200"/>
              <w:jc w:val="both"/>
              <w:textAlignment w:val="auto"/>
              <w:rPr>
                <w:rFonts w:hint="eastAsia" w:ascii="Times New Roman" w:hAnsi="Times New Roman" w:eastAsia="宋体" w:cs="Times New Roman"/>
                <w:color w:val="auto"/>
                <w:spacing w:val="0"/>
                <w:position w:val="0"/>
                <w:sz w:val="24"/>
                <w:szCs w:val="24"/>
                <w:highlight w:val="none"/>
                <w:lang w:val="en-US" w:eastAsia="zh-CN"/>
              </w:rPr>
            </w:pPr>
            <w:r>
              <w:rPr>
                <w:rFonts w:hint="eastAsia" w:ascii="Times New Roman" w:hAnsi="Times New Roman" w:eastAsia="宋体" w:cs="Times New Roman"/>
                <w:color w:val="auto"/>
                <w:spacing w:val="0"/>
                <w:position w:val="0"/>
                <w:sz w:val="24"/>
                <w:szCs w:val="24"/>
                <w:highlight w:val="none"/>
                <w:lang w:val="en-US" w:eastAsia="zh-CN"/>
              </w:rPr>
              <w:t>3.5土壤、地下水环境</w:t>
            </w:r>
          </w:p>
          <w:p w14:paraId="0F7A1CC1">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eastAsia" w:ascii="Times New Roman" w:hAnsi="Times New Roman" w:eastAsia="宋体" w:cs="Times New Roman"/>
                <w:color w:val="auto"/>
                <w:sz w:val="24"/>
                <w:szCs w:val="24"/>
                <w:lang w:eastAsia="zh-CN"/>
              </w:rPr>
              <w:t>根据《建设项目环境影响报告表编制技术指南（污染影响类）》（试行）中要求：“原则上不开展地下水、土壤环境质量现状调查”，结合本项目厂界外500米范围内无地下水集中式饮用水水源和热水、矿泉水、温泉等</w:t>
            </w:r>
            <w:r>
              <w:rPr>
                <w:rFonts w:hint="eastAsia" w:ascii="Times New Roman" w:hAnsi="Times New Roman" w:eastAsia="宋体" w:cs="Times New Roman"/>
                <w:color w:val="auto"/>
                <w:sz w:val="24"/>
                <w:szCs w:val="24"/>
                <w:lang w:val="en-US" w:eastAsia="zh-CN"/>
              </w:rPr>
              <w:t>特殊地下水资源</w:t>
            </w:r>
            <w:r>
              <w:rPr>
                <w:rFonts w:hint="eastAsia" w:cs="Times New Roman"/>
                <w:color w:val="auto"/>
                <w:sz w:val="24"/>
                <w:szCs w:val="24"/>
                <w:lang w:val="en-US" w:eastAsia="zh-CN"/>
              </w:rPr>
              <w:t>，涉及农村分散式水源井</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本项目在正常生产及采取防渗措施情况下不存在地下水及土壤的污染途径，无需开展环境质量现状调查。</w:t>
            </w:r>
          </w:p>
        </w:tc>
      </w:tr>
      <w:tr w14:paraId="63B1CF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30" w:hRule="atLeast"/>
          <w:jc w:val="center"/>
        </w:trPr>
        <w:tc>
          <w:tcPr>
            <w:tcW w:w="800" w:type="dxa"/>
            <w:vAlign w:val="center"/>
          </w:tcPr>
          <w:p w14:paraId="5D2C9D3B">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环境</w:t>
            </w:r>
          </w:p>
          <w:p w14:paraId="7E66C763">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保护</w:t>
            </w:r>
          </w:p>
          <w:p w14:paraId="203E8B06">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目标</w:t>
            </w:r>
          </w:p>
        </w:tc>
        <w:tc>
          <w:tcPr>
            <w:tcW w:w="8190" w:type="dxa"/>
            <w:vAlign w:val="center"/>
          </w:tcPr>
          <w:p w14:paraId="31FF8129">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w:t>
            </w:r>
            <w:r>
              <w:rPr>
                <w:rFonts w:hint="eastAsia" w:cs="Times New Roman"/>
                <w:b/>
                <w:bCs/>
                <w:color w:val="auto"/>
                <w:spacing w:val="0"/>
                <w:kern w:val="0"/>
                <w:position w:val="0"/>
                <w:sz w:val="24"/>
                <w:szCs w:val="24"/>
                <w:highlight w:val="none"/>
                <w:lang w:val="en-US" w:eastAsia="zh-CN"/>
              </w:rPr>
              <w:t>6</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大气环境</w:t>
            </w:r>
          </w:p>
          <w:p w14:paraId="47D4B120">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default" w:ascii="Times New Roman" w:hAnsi="Times New Roman" w:eastAsia="宋体" w:cs="Times New Roman"/>
                <w:color w:val="auto"/>
                <w:spacing w:val="0"/>
                <w:kern w:val="0"/>
                <w:position w:val="0"/>
                <w:sz w:val="24"/>
                <w:szCs w:val="24"/>
                <w:highlight w:val="none"/>
                <w:lang w:val="en-US" w:eastAsia="zh-CN"/>
              </w:rPr>
              <w:t>根据调查，</w:t>
            </w:r>
            <w:r>
              <w:rPr>
                <w:rFonts w:hint="eastAsia" w:cs="Times New Roman"/>
                <w:color w:val="auto"/>
                <w:spacing w:val="0"/>
                <w:kern w:val="0"/>
                <w:position w:val="0"/>
                <w:sz w:val="24"/>
                <w:szCs w:val="24"/>
                <w:highlight w:val="none"/>
                <w:lang w:val="en-US" w:eastAsia="zh-CN"/>
              </w:rPr>
              <w:t>工业场地</w:t>
            </w:r>
            <w:r>
              <w:rPr>
                <w:rFonts w:hint="default" w:ascii="Times New Roman" w:hAnsi="Times New Roman" w:eastAsia="宋体" w:cs="Times New Roman"/>
                <w:color w:val="auto"/>
                <w:spacing w:val="0"/>
                <w:kern w:val="0"/>
                <w:position w:val="0"/>
                <w:sz w:val="24"/>
                <w:szCs w:val="24"/>
                <w:highlight w:val="none"/>
                <w:lang w:val="en-US" w:eastAsia="zh-CN"/>
              </w:rPr>
              <w:t>厂界外500m范围内有</w:t>
            </w:r>
            <w:r>
              <w:rPr>
                <w:rFonts w:hint="eastAsia" w:cs="Times New Roman"/>
                <w:color w:val="auto"/>
                <w:spacing w:val="0"/>
                <w:kern w:val="0"/>
                <w:position w:val="0"/>
                <w:sz w:val="24"/>
                <w:szCs w:val="24"/>
                <w:highlight w:val="none"/>
                <w:lang w:val="en-US" w:eastAsia="zh-CN"/>
              </w:rPr>
              <w:t>崇瓦张村、南张店村、东范村、南郜村、崇南沟村、慈林春城</w:t>
            </w:r>
            <w:r>
              <w:rPr>
                <w:rFonts w:hint="default" w:ascii="Times New Roman" w:hAnsi="Times New Roman" w:eastAsia="宋体" w:cs="Times New Roman"/>
                <w:color w:val="auto"/>
                <w:spacing w:val="0"/>
                <w:kern w:val="0"/>
                <w:position w:val="0"/>
                <w:sz w:val="24"/>
                <w:szCs w:val="24"/>
                <w:highlight w:val="none"/>
                <w:lang w:val="en-US" w:eastAsia="zh-CN"/>
              </w:rPr>
              <w:t>。</w:t>
            </w:r>
          </w:p>
          <w:p w14:paraId="7AE237CD">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w:t>
            </w:r>
            <w:r>
              <w:rPr>
                <w:rFonts w:hint="eastAsia" w:cs="Times New Roman"/>
                <w:b/>
                <w:bCs/>
                <w:color w:val="auto"/>
                <w:spacing w:val="0"/>
                <w:kern w:val="0"/>
                <w:position w:val="0"/>
                <w:sz w:val="24"/>
                <w:szCs w:val="24"/>
                <w:highlight w:val="none"/>
                <w:lang w:val="en-US" w:eastAsia="zh-CN"/>
              </w:rPr>
              <w:t>7</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声环境</w:t>
            </w:r>
          </w:p>
          <w:p w14:paraId="2AD3757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eastAsia" w:cs="Times New Roman"/>
                <w:color w:val="auto"/>
                <w:sz w:val="24"/>
                <w:highlight w:val="none"/>
                <w:lang w:val="en-US" w:eastAsia="zh-CN"/>
              </w:rPr>
              <w:t>工业场地</w:t>
            </w:r>
            <w:r>
              <w:rPr>
                <w:rFonts w:hint="default" w:ascii="Times New Roman" w:hAnsi="Times New Roman" w:eastAsia="宋体" w:cs="Times New Roman"/>
                <w:color w:val="auto"/>
                <w:spacing w:val="0"/>
                <w:kern w:val="0"/>
                <w:position w:val="0"/>
                <w:sz w:val="24"/>
                <w:szCs w:val="24"/>
                <w:highlight w:val="none"/>
                <w:lang w:val="en-US" w:eastAsia="zh-CN"/>
              </w:rPr>
              <w:t>厂界外50m范围内声环境保护目标为</w:t>
            </w:r>
            <w:r>
              <w:rPr>
                <w:rFonts w:hint="eastAsia" w:cs="Times New Roman"/>
                <w:color w:val="auto"/>
                <w:spacing w:val="0"/>
                <w:kern w:val="0"/>
                <w:position w:val="0"/>
                <w:sz w:val="24"/>
                <w:szCs w:val="24"/>
                <w:highlight w:val="none"/>
                <w:lang w:val="en-US" w:eastAsia="zh-CN"/>
              </w:rPr>
              <w:t>崇瓦张村</w:t>
            </w:r>
            <w:r>
              <w:rPr>
                <w:rFonts w:hint="default" w:ascii="Times New Roman" w:hAnsi="Times New Roman" w:eastAsia="宋体" w:cs="Times New Roman"/>
                <w:color w:val="auto"/>
                <w:spacing w:val="0"/>
                <w:kern w:val="0"/>
                <w:position w:val="0"/>
                <w:sz w:val="24"/>
                <w:szCs w:val="24"/>
                <w:highlight w:val="none"/>
                <w:lang w:val="en-US" w:eastAsia="zh-CN"/>
              </w:rPr>
              <w:t>。</w:t>
            </w:r>
          </w:p>
          <w:p w14:paraId="54C40182">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w:t>
            </w:r>
            <w:r>
              <w:rPr>
                <w:rFonts w:hint="eastAsia" w:cs="Times New Roman"/>
                <w:b/>
                <w:bCs/>
                <w:color w:val="auto"/>
                <w:spacing w:val="0"/>
                <w:kern w:val="0"/>
                <w:position w:val="0"/>
                <w:sz w:val="24"/>
                <w:szCs w:val="24"/>
                <w:highlight w:val="none"/>
                <w:lang w:val="en-US" w:eastAsia="zh-CN"/>
              </w:rPr>
              <w:t>8</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地下水环境</w:t>
            </w:r>
          </w:p>
          <w:p w14:paraId="746C925F">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kern w:val="0"/>
                <w:position w:val="0"/>
                <w:sz w:val="24"/>
                <w:szCs w:val="24"/>
                <w:highlight w:val="none"/>
                <w:lang w:val="en-US" w:eastAsia="zh-CN"/>
              </w:rPr>
            </w:pPr>
            <w:r>
              <w:rPr>
                <w:rFonts w:hint="eastAsia" w:cs="Times New Roman"/>
                <w:color w:val="auto"/>
                <w:sz w:val="24"/>
                <w:highlight w:val="none"/>
                <w:lang w:val="en-US" w:eastAsia="zh-CN"/>
              </w:rPr>
              <w:t>工业场地</w:t>
            </w:r>
            <w:r>
              <w:rPr>
                <w:rFonts w:hint="default" w:ascii="Times New Roman" w:hAnsi="Times New Roman" w:eastAsia="宋体" w:cs="Times New Roman"/>
                <w:color w:val="auto"/>
                <w:spacing w:val="0"/>
                <w:kern w:val="0"/>
                <w:position w:val="0"/>
                <w:sz w:val="24"/>
                <w:szCs w:val="24"/>
                <w:highlight w:val="none"/>
                <w:lang w:val="en-US" w:eastAsia="zh-CN"/>
              </w:rPr>
              <w:t>厂界外500m范围内无地下水集中式饮用水水源和热水、矿泉水、温泉等特殊地下水资源</w:t>
            </w:r>
            <w:r>
              <w:rPr>
                <w:rFonts w:hint="eastAsia" w:cs="Times New Roman"/>
                <w:color w:val="auto"/>
                <w:spacing w:val="0"/>
                <w:kern w:val="0"/>
                <w:position w:val="0"/>
                <w:sz w:val="24"/>
                <w:szCs w:val="24"/>
                <w:highlight w:val="none"/>
                <w:lang w:val="en-US" w:eastAsia="zh-CN"/>
              </w:rPr>
              <w:t>，涉及农村分散式水源井</w:t>
            </w:r>
            <w:r>
              <w:rPr>
                <w:rFonts w:hint="default" w:ascii="Times New Roman" w:hAnsi="Times New Roman" w:eastAsia="宋体" w:cs="Times New Roman"/>
                <w:color w:val="auto"/>
                <w:spacing w:val="0"/>
                <w:kern w:val="0"/>
                <w:position w:val="0"/>
                <w:sz w:val="24"/>
                <w:szCs w:val="24"/>
                <w:highlight w:val="none"/>
                <w:lang w:val="en-US" w:eastAsia="zh-CN"/>
              </w:rPr>
              <w:t>。</w:t>
            </w:r>
          </w:p>
          <w:p w14:paraId="7E5282B7">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w:t>
            </w:r>
            <w:r>
              <w:rPr>
                <w:rFonts w:hint="eastAsia" w:cs="Times New Roman"/>
                <w:b/>
                <w:bCs/>
                <w:color w:val="auto"/>
                <w:spacing w:val="0"/>
                <w:kern w:val="0"/>
                <w:position w:val="0"/>
                <w:sz w:val="24"/>
                <w:szCs w:val="24"/>
                <w:highlight w:val="none"/>
                <w:lang w:val="en-US" w:eastAsia="zh-CN"/>
              </w:rPr>
              <w:t>9</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生态环境</w:t>
            </w:r>
          </w:p>
          <w:p w14:paraId="561F7D33">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color w:val="auto"/>
                <w:spacing w:val="0"/>
                <w:kern w:val="0"/>
                <w:position w:val="0"/>
                <w:sz w:val="24"/>
                <w:szCs w:val="24"/>
                <w:highlight w:val="none"/>
                <w:lang w:val="en-US" w:eastAsia="zh-CN"/>
              </w:rPr>
            </w:pPr>
            <w:r>
              <w:rPr>
                <w:rFonts w:hint="default" w:ascii="Times New Roman" w:hAnsi="Times New Roman" w:eastAsia="宋体" w:cs="Times New Roman"/>
                <w:color w:val="auto"/>
                <w:spacing w:val="0"/>
                <w:kern w:val="0"/>
                <w:position w:val="0"/>
                <w:sz w:val="24"/>
                <w:szCs w:val="24"/>
                <w:highlight w:val="none"/>
                <w:lang w:val="en-US" w:eastAsia="zh-CN"/>
              </w:rPr>
              <w:t>项目不涉及自然保护区、风景名胜区、水源地、特殊地下水资源保护区、森林公园等环境保护敏感目标。</w:t>
            </w:r>
          </w:p>
          <w:p w14:paraId="1A3CFA44">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p>
          <w:p w14:paraId="6ECBAC46">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p>
          <w:p w14:paraId="4E05802B">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r>
              <w:rPr>
                <w:rFonts w:hint="default" w:ascii="Times New Roman" w:hAnsi="Times New Roman" w:eastAsia="黑体" w:cs="Times New Roman"/>
                <w:bCs/>
                <w:color w:val="auto"/>
                <w:spacing w:val="0"/>
                <w:position w:val="0"/>
                <w:sz w:val="21"/>
                <w:szCs w:val="21"/>
                <w:highlight w:val="none"/>
                <w:lang w:val="en-US" w:eastAsia="zh-CN"/>
              </w:rPr>
              <w:t>表</w:t>
            </w:r>
            <w:r>
              <w:rPr>
                <w:rFonts w:hint="eastAsia" w:eastAsia="黑体" w:cs="Times New Roman"/>
                <w:bCs/>
                <w:color w:val="auto"/>
                <w:spacing w:val="0"/>
                <w:position w:val="0"/>
                <w:sz w:val="21"/>
                <w:szCs w:val="21"/>
                <w:highlight w:val="none"/>
                <w:lang w:val="en-US" w:eastAsia="zh-CN"/>
              </w:rPr>
              <w:t>3.9-1</w:t>
            </w:r>
            <w:r>
              <w:rPr>
                <w:rFonts w:hint="default" w:ascii="Times New Roman" w:hAnsi="Times New Roman" w:eastAsia="黑体" w:cs="Times New Roman"/>
                <w:bCs/>
                <w:color w:val="auto"/>
                <w:spacing w:val="0"/>
                <w:position w:val="0"/>
                <w:sz w:val="21"/>
                <w:szCs w:val="21"/>
                <w:highlight w:val="none"/>
                <w:lang w:val="en-US" w:eastAsia="zh-CN"/>
              </w:rPr>
              <w:t xml:space="preserve">  环境</w:t>
            </w:r>
            <w:r>
              <w:rPr>
                <w:rFonts w:hint="eastAsia" w:ascii="Times New Roman" w:hAnsi="Times New Roman" w:eastAsia="黑体" w:cs="Times New Roman"/>
                <w:bCs/>
                <w:color w:val="auto"/>
                <w:spacing w:val="0"/>
                <w:position w:val="0"/>
                <w:sz w:val="21"/>
                <w:szCs w:val="21"/>
                <w:highlight w:val="none"/>
                <w:lang w:val="en-US" w:eastAsia="zh-CN"/>
              </w:rPr>
              <w:t>保护</w:t>
            </w:r>
            <w:r>
              <w:rPr>
                <w:rFonts w:hint="default" w:ascii="Times New Roman" w:hAnsi="Times New Roman" w:eastAsia="黑体" w:cs="Times New Roman"/>
                <w:bCs/>
                <w:color w:val="auto"/>
                <w:spacing w:val="0"/>
                <w:position w:val="0"/>
                <w:sz w:val="21"/>
                <w:szCs w:val="21"/>
                <w:highlight w:val="none"/>
                <w:lang w:val="en-US" w:eastAsia="zh-CN"/>
              </w:rPr>
              <w:t>目标</w:t>
            </w:r>
            <w:r>
              <w:rPr>
                <w:rFonts w:hint="eastAsia" w:ascii="Times New Roman" w:hAnsi="Times New Roman" w:eastAsia="黑体" w:cs="Times New Roman"/>
                <w:bCs/>
                <w:color w:val="auto"/>
                <w:spacing w:val="0"/>
                <w:position w:val="0"/>
                <w:sz w:val="21"/>
                <w:szCs w:val="21"/>
                <w:highlight w:val="none"/>
                <w:lang w:val="en-US" w:eastAsia="zh-CN"/>
              </w:rPr>
              <w:t>表</w:t>
            </w:r>
          </w:p>
          <w:tbl>
            <w:tblPr>
              <w:tblStyle w:val="24"/>
              <w:tblW w:w="7937"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2"/>
              <w:gridCol w:w="1250"/>
              <w:gridCol w:w="1075"/>
              <w:gridCol w:w="838"/>
              <w:gridCol w:w="962"/>
              <w:gridCol w:w="841"/>
              <w:gridCol w:w="650"/>
              <w:gridCol w:w="1589"/>
            </w:tblGrid>
            <w:tr w14:paraId="663572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2" w:type="dxa"/>
                  <w:tcBorders>
                    <w:tl2br w:val="nil"/>
                    <w:tr2bl w:val="nil"/>
                  </w:tcBorders>
                  <w:vAlign w:val="center"/>
                </w:tcPr>
                <w:p w14:paraId="2A97F2B3">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类别</w:t>
                  </w:r>
                </w:p>
              </w:tc>
              <w:tc>
                <w:tcPr>
                  <w:tcW w:w="1250" w:type="dxa"/>
                  <w:tcBorders>
                    <w:tl2br w:val="nil"/>
                    <w:tr2bl w:val="nil"/>
                  </w:tcBorders>
                  <w:vAlign w:val="center"/>
                </w:tcPr>
                <w:p w14:paraId="40787F8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保护目标</w:t>
                  </w:r>
                </w:p>
              </w:tc>
              <w:tc>
                <w:tcPr>
                  <w:tcW w:w="1075" w:type="dxa"/>
                  <w:tcBorders>
                    <w:tl2br w:val="nil"/>
                    <w:tr2bl w:val="nil"/>
                  </w:tcBorders>
                  <w:vAlign w:val="center"/>
                </w:tcPr>
                <w:p w14:paraId="44C72BF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方位（相对</w:t>
                  </w:r>
                  <w:r>
                    <w:rPr>
                      <w:rFonts w:hint="eastAsia" w:cs="Times New Roman"/>
                      <w:color w:val="auto"/>
                      <w:spacing w:val="0"/>
                      <w:position w:val="0"/>
                      <w:sz w:val="21"/>
                      <w:szCs w:val="21"/>
                      <w:highlight w:val="none"/>
                      <w:lang w:val="en-US" w:eastAsia="zh-CN"/>
                    </w:rPr>
                    <w:t>工业场地边界</w:t>
                  </w:r>
                  <w:r>
                    <w:rPr>
                      <w:rFonts w:hint="default" w:ascii="Times New Roman" w:hAnsi="Times New Roman" w:eastAsia="宋体" w:cs="Times New Roman"/>
                      <w:color w:val="auto"/>
                      <w:spacing w:val="0"/>
                      <w:position w:val="0"/>
                      <w:sz w:val="21"/>
                      <w:szCs w:val="21"/>
                      <w:highlight w:val="none"/>
                      <w:lang w:val="en-US" w:eastAsia="zh-CN"/>
                    </w:rPr>
                    <w:t>）</w:t>
                  </w:r>
                </w:p>
              </w:tc>
              <w:tc>
                <w:tcPr>
                  <w:tcW w:w="838" w:type="dxa"/>
                  <w:tcBorders>
                    <w:tl2br w:val="nil"/>
                    <w:tr2bl w:val="nil"/>
                  </w:tcBorders>
                  <w:vAlign w:val="center"/>
                </w:tcPr>
                <w:p w14:paraId="3CC58D6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距离（km）</w:t>
                  </w:r>
                </w:p>
              </w:tc>
              <w:tc>
                <w:tcPr>
                  <w:tcW w:w="962" w:type="dxa"/>
                  <w:tcBorders>
                    <w:tl2br w:val="nil"/>
                    <w:tr2bl w:val="nil"/>
                  </w:tcBorders>
                  <w:shd w:val="clear" w:color="auto" w:fill="auto"/>
                  <w:vAlign w:val="center"/>
                </w:tcPr>
                <w:p w14:paraId="4B9B115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position w:val="0"/>
                      <w:sz w:val="21"/>
                      <w:szCs w:val="21"/>
                      <w:highlight w:val="none"/>
                      <w:lang w:val="en-US" w:eastAsia="zh-CN"/>
                    </w:rPr>
                    <w:t>方位（相对</w:t>
                  </w:r>
                  <w:r>
                    <w:rPr>
                      <w:rFonts w:hint="eastAsia" w:cs="Times New Roman"/>
                      <w:color w:val="auto"/>
                      <w:spacing w:val="0"/>
                      <w:position w:val="0"/>
                      <w:sz w:val="21"/>
                      <w:szCs w:val="21"/>
                      <w:highlight w:val="none"/>
                      <w:lang w:val="en-US" w:eastAsia="zh-CN"/>
                    </w:rPr>
                    <w:t>本项目边界</w:t>
                  </w:r>
                  <w:r>
                    <w:rPr>
                      <w:rFonts w:hint="default" w:ascii="Times New Roman" w:hAnsi="Times New Roman" w:eastAsia="宋体" w:cs="Times New Roman"/>
                      <w:color w:val="auto"/>
                      <w:spacing w:val="0"/>
                      <w:position w:val="0"/>
                      <w:sz w:val="21"/>
                      <w:szCs w:val="21"/>
                      <w:highlight w:val="none"/>
                      <w:lang w:val="en-US" w:eastAsia="zh-CN"/>
                    </w:rPr>
                    <w:t>）</w:t>
                  </w:r>
                </w:p>
              </w:tc>
              <w:tc>
                <w:tcPr>
                  <w:tcW w:w="841" w:type="dxa"/>
                  <w:tcBorders>
                    <w:tl2br w:val="nil"/>
                    <w:tr2bl w:val="nil"/>
                  </w:tcBorders>
                  <w:shd w:val="clear" w:color="auto" w:fill="auto"/>
                  <w:vAlign w:val="center"/>
                </w:tcPr>
                <w:p w14:paraId="2B08146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position w:val="0"/>
                      <w:sz w:val="21"/>
                      <w:szCs w:val="21"/>
                      <w:highlight w:val="none"/>
                      <w:lang w:val="en-US" w:eastAsia="zh-CN"/>
                    </w:rPr>
                    <w:t>距离（km）</w:t>
                  </w:r>
                </w:p>
              </w:tc>
              <w:tc>
                <w:tcPr>
                  <w:tcW w:w="650" w:type="dxa"/>
                  <w:tcBorders>
                    <w:tl2br w:val="nil"/>
                    <w:tr2bl w:val="nil"/>
                  </w:tcBorders>
                  <w:shd w:val="clear" w:color="auto" w:fill="auto"/>
                  <w:vAlign w:val="center"/>
                </w:tcPr>
                <w:p w14:paraId="1F86E81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eastAsia="宋体" w:cs="Times New Roman"/>
                      <w:color w:val="auto"/>
                      <w:spacing w:val="0"/>
                      <w:position w:val="0"/>
                      <w:sz w:val="21"/>
                      <w:szCs w:val="21"/>
                      <w:highlight w:val="none"/>
                      <w:lang w:val="en-US" w:eastAsia="zh-CN"/>
                    </w:rPr>
                    <w:t>保护</w:t>
                  </w:r>
                  <w:r>
                    <w:rPr>
                      <w:rFonts w:hint="eastAsia" w:ascii="Times New Roman" w:hAnsi="Times New Roman" w:eastAsia="宋体" w:cs="Times New Roman"/>
                      <w:color w:val="auto"/>
                      <w:spacing w:val="0"/>
                      <w:position w:val="0"/>
                      <w:sz w:val="21"/>
                      <w:szCs w:val="21"/>
                      <w:highlight w:val="none"/>
                      <w:lang w:val="en-US" w:eastAsia="zh-CN"/>
                    </w:rPr>
                    <w:t>内容</w:t>
                  </w:r>
                </w:p>
              </w:tc>
              <w:tc>
                <w:tcPr>
                  <w:tcW w:w="1589" w:type="dxa"/>
                  <w:tcBorders>
                    <w:tl2br w:val="nil"/>
                    <w:tr2bl w:val="nil"/>
                  </w:tcBorders>
                  <w:vAlign w:val="center"/>
                </w:tcPr>
                <w:p w14:paraId="4EA66B4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保护级别</w:t>
                  </w:r>
                </w:p>
              </w:tc>
            </w:tr>
            <w:tr w14:paraId="523A0B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2" w:type="dxa"/>
                  <w:vMerge w:val="restart"/>
                  <w:tcBorders>
                    <w:tl2br w:val="nil"/>
                    <w:tr2bl w:val="nil"/>
                  </w:tcBorders>
                  <w:vAlign w:val="center"/>
                </w:tcPr>
                <w:p w14:paraId="3F86381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环境空气</w:t>
                  </w:r>
                </w:p>
              </w:tc>
              <w:tc>
                <w:tcPr>
                  <w:tcW w:w="1250" w:type="dxa"/>
                  <w:tcBorders>
                    <w:tl2br w:val="nil"/>
                    <w:tr2bl w:val="nil"/>
                  </w:tcBorders>
                  <w:vAlign w:val="center"/>
                </w:tcPr>
                <w:p w14:paraId="1534ECA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崇瓦张村</w:t>
                  </w:r>
                </w:p>
              </w:tc>
              <w:tc>
                <w:tcPr>
                  <w:tcW w:w="1075" w:type="dxa"/>
                  <w:tcBorders>
                    <w:tl2br w:val="nil"/>
                    <w:tr2bl w:val="nil"/>
                  </w:tcBorders>
                  <w:vAlign w:val="center"/>
                </w:tcPr>
                <w:p w14:paraId="6681CBA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w:t>
                  </w:r>
                </w:p>
              </w:tc>
              <w:tc>
                <w:tcPr>
                  <w:tcW w:w="838" w:type="dxa"/>
                  <w:tcBorders>
                    <w:tl2br w:val="nil"/>
                    <w:tr2bl w:val="nil"/>
                  </w:tcBorders>
                  <w:vAlign w:val="center"/>
                </w:tcPr>
                <w:p w14:paraId="3D957C2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0.001</w:t>
                  </w:r>
                </w:p>
              </w:tc>
              <w:tc>
                <w:tcPr>
                  <w:tcW w:w="962" w:type="dxa"/>
                  <w:tcBorders>
                    <w:tl2br w:val="nil"/>
                    <w:tr2bl w:val="nil"/>
                  </w:tcBorders>
                  <w:vAlign w:val="center"/>
                </w:tcPr>
                <w:p w14:paraId="2EDA66A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w:t>
                  </w:r>
                </w:p>
              </w:tc>
              <w:tc>
                <w:tcPr>
                  <w:tcW w:w="841" w:type="dxa"/>
                  <w:tcBorders>
                    <w:tl2br w:val="nil"/>
                    <w:tr2bl w:val="nil"/>
                  </w:tcBorders>
                  <w:vAlign w:val="center"/>
                </w:tcPr>
                <w:p w14:paraId="3D8149D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1.3</w:t>
                  </w:r>
                </w:p>
              </w:tc>
              <w:tc>
                <w:tcPr>
                  <w:tcW w:w="650" w:type="dxa"/>
                  <w:vMerge w:val="restart"/>
                  <w:tcBorders>
                    <w:tl2br w:val="nil"/>
                    <w:tr2bl w:val="nil"/>
                  </w:tcBorders>
                  <w:shd w:val="clear" w:color="auto" w:fill="auto"/>
                  <w:vAlign w:val="center"/>
                </w:tcPr>
                <w:p w14:paraId="68923C3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r>
                    <w:rPr>
                      <w:rFonts w:hint="eastAsia" w:cs="Times New Roman"/>
                      <w:color w:val="auto"/>
                      <w:spacing w:val="0"/>
                      <w:position w:val="0"/>
                      <w:sz w:val="21"/>
                      <w:szCs w:val="21"/>
                      <w:highlight w:val="none"/>
                      <w:lang w:val="en-US" w:eastAsia="zh-CN"/>
                    </w:rPr>
                    <w:t>居民</w:t>
                  </w:r>
                </w:p>
              </w:tc>
              <w:tc>
                <w:tcPr>
                  <w:tcW w:w="1589" w:type="dxa"/>
                  <w:vMerge w:val="restart"/>
                  <w:tcBorders>
                    <w:tl2br w:val="nil"/>
                    <w:tr2bl w:val="nil"/>
                  </w:tcBorders>
                  <w:vAlign w:val="center"/>
                </w:tcPr>
                <w:p w14:paraId="497FA91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《环境空气质量标准》（GB3095-20</w:t>
                  </w:r>
                  <w:r>
                    <w:rPr>
                      <w:rFonts w:hint="eastAsia" w:cs="Times New Roman"/>
                      <w:color w:val="auto"/>
                      <w:spacing w:val="0"/>
                      <w:position w:val="0"/>
                      <w:sz w:val="21"/>
                      <w:szCs w:val="21"/>
                      <w:highlight w:val="none"/>
                      <w:lang w:val="en-US" w:eastAsia="zh-CN"/>
                    </w:rPr>
                    <w:t>26</w:t>
                  </w:r>
                  <w:r>
                    <w:rPr>
                      <w:rFonts w:hint="default" w:ascii="Times New Roman" w:hAnsi="Times New Roman" w:cs="Times New Roman"/>
                      <w:color w:val="auto"/>
                      <w:spacing w:val="0"/>
                      <w:position w:val="0"/>
                      <w:sz w:val="21"/>
                      <w:szCs w:val="21"/>
                      <w:highlight w:val="none"/>
                      <w:lang w:val="en-US" w:eastAsia="zh-CN"/>
                    </w:rPr>
                    <w:t>）中二级标准</w:t>
                  </w:r>
                </w:p>
              </w:tc>
            </w:tr>
            <w:tr w14:paraId="0D66F8D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15B7C7F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250" w:type="dxa"/>
                  <w:tcBorders>
                    <w:tl2br w:val="nil"/>
                    <w:tr2bl w:val="nil"/>
                  </w:tcBorders>
                  <w:vAlign w:val="center"/>
                </w:tcPr>
                <w:p w14:paraId="27812FF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南</w:t>
                  </w:r>
                  <w:r>
                    <w:rPr>
                      <w:rFonts w:hint="default" w:ascii="Times New Roman" w:hAnsi="Times New Roman" w:eastAsia="宋体" w:cs="Times New Roman"/>
                      <w:color w:val="auto"/>
                      <w:spacing w:val="0"/>
                      <w:position w:val="0"/>
                      <w:sz w:val="21"/>
                      <w:szCs w:val="21"/>
                      <w:highlight w:val="none"/>
                      <w:lang w:val="en-US" w:eastAsia="zh-CN"/>
                    </w:rPr>
                    <w:t>张店村</w:t>
                  </w:r>
                </w:p>
              </w:tc>
              <w:tc>
                <w:tcPr>
                  <w:tcW w:w="1075" w:type="dxa"/>
                  <w:tcBorders>
                    <w:tl2br w:val="nil"/>
                    <w:tr2bl w:val="nil"/>
                  </w:tcBorders>
                  <w:vAlign w:val="center"/>
                </w:tcPr>
                <w:p w14:paraId="03AD23D3">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38" w:type="dxa"/>
                  <w:tcBorders>
                    <w:tl2br w:val="nil"/>
                    <w:tr2bl w:val="nil"/>
                  </w:tcBorders>
                  <w:vAlign w:val="center"/>
                </w:tcPr>
                <w:p w14:paraId="251B240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0.19</w:t>
                  </w:r>
                </w:p>
              </w:tc>
              <w:tc>
                <w:tcPr>
                  <w:tcW w:w="962" w:type="dxa"/>
                  <w:tcBorders>
                    <w:tl2br w:val="nil"/>
                    <w:tr2bl w:val="nil"/>
                  </w:tcBorders>
                  <w:vAlign w:val="center"/>
                </w:tcPr>
                <w:p w14:paraId="5D92569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w:t>
                  </w:r>
                </w:p>
              </w:tc>
              <w:tc>
                <w:tcPr>
                  <w:tcW w:w="841" w:type="dxa"/>
                  <w:tcBorders>
                    <w:tl2br w:val="nil"/>
                    <w:tr2bl w:val="nil"/>
                  </w:tcBorders>
                  <w:vAlign w:val="center"/>
                </w:tcPr>
                <w:p w14:paraId="637BA17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0.78</w:t>
                  </w:r>
                </w:p>
              </w:tc>
              <w:tc>
                <w:tcPr>
                  <w:tcW w:w="650" w:type="dxa"/>
                  <w:vMerge w:val="continue"/>
                  <w:tcBorders>
                    <w:tl2br w:val="nil"/>
                    <w:tr2bl w:val="nil"/>
                  </w:tcBorders>
                  <w:shd w:val="clear" w:color="auto" w:fill="auto"/>
                  <w:vAlign w:val="center"/>
                </w:tcPr>
                <w:p w14:paraId="7A32E56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p>
              </w:tc>
              <w:tc>
                <w:tcPr>
                  <w:tcW w:w="1589" w:type="dxa"/>
                  <w:vMerge w:val="continue"/>
                  <w:tcBorders>
                    <w:tl2br w:val="nil"/>
                    <w:tr2bl w:val="nil"/>
                  </w:tcBorders>
                  <w:vAlign w:val="center"/>
                </w:tcPr>
                <w:p w14:paraId="6C2FAC6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62A8B8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0C61498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250" w:type="dxa"/>
                  <w:tcBorders>
                    <w:tl2br w:val="nil"/>
                    <w:tr2bl w:val="nil"/>
                  </w:tcBorders>
                  <w:vAlign w:val="center"/>
                </w:tcPr>
                <w:p w14:paraId="403E41C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东范村</w:t>
                  </w:r>
                </w:p>
              </w:tc>
              <w:tc>
                <w:tcPr>
                  <w:tcW w:w="1075" w:type="dxa"/>
                  <w:tcBorders>
                    <w:tl2br w:val="nil"/>
                    <w:tr2bl w:val="nil"/>
                  </w:tcBorders>
                  <w:vAlign w:val="center"/>
                </w:tcPr>
                <w:p w14:paraId="34608C7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38" w:type="dxa"/>
                  <w:tcBorders>
                    <w:tl2br w:val="nil"/>
                    <w:tr2bl w:val="nil"/>
                  </w:tcBorders>
                  <w:vAlign w:val="center"/>
                </w:tcPr>
                <w:p w14:paraId="76609B5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0.14</w:t>
                  </w:r>
                </w:p>
              </w:tc>
              <w:tc>
                <w:tcPr>
                  <w:tcW w:w="962" w:type="dxa"/>
                  <w:tcBorders>
                    <w:tl2br w:val="nil"/>
                    <w:tr2bl w:val="nil"/>
                  </w:tcBorders>
                  <w:vAlign w:val="center"/>
                </w:tcPr>
                <w:p w14:paraId="525CA6F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41" w:type="dxa"/>
                  <w:tcBorders>
                    <w:tl2br w:val="nil"/>
                    <w:tr2bl w:val="nil"/>
                  </w:tcBorders>
                  <w:vAlign w:val="center"/>
                </w:tcPr>
                <w:p w14:paraId="3ACCE06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0.43</w:t>
                  </w:r>
                </w:p>
              </w:tc>
              <w:tc>
                <w:tcPr>
                  <w:tcW w:w="650" w:type="dxa"/>
                  <w:vMerge w:val="continue"/>
                  <w:tcBorders>
                    <w:tl2br w:val="nil"/>
                    <w:tr2bl w:val="nil"/>
                  </w:tcBorders>
                  <w:shd w:val="clear" w:color="auto" w:fill="auto"/>
                  <w:vAlign w:val="center"/>
                </w:tcPr>
                <w:p w14:paraId="17C6B40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p>
              </w:tc>
              <w:tc>
                <w:tcPr>
                  <w:tcW w:w="1589" w:type="dxa"/>
                  <w:vMerge w:val="continue"/>
                  <w:tcBorders>
                    <w:tl2br w:val="nil"/>
                    <w:tr2bl w:val="nil"/>
                  </w:tcBorders>
                  <w:vAlign w:val="center"/>
                </w:tcPr>
                <w:p w14:paraId="7403A44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051398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77E063A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250" w:type="dxa"/>
                  <w:tcBorders>
                    <w:tl2br w:val="nil"/>
                    <w:tr2bl w:val="nil"/>
                  </w:tcBorders>
                  <w:vAlign w:val="center"/>
                </w:tcPr>
                <w:p w14:paraId="6192319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南郜村</w:t>
                  </w:r>
                </w:p>
              </w:tc>
              <w:tc>
                <w:tcPr>
                  <w:tcW w:w="1075" w:type="dxa"/>
                  <w:tcBorders>
                    <w:tl2br w:val="nil"/>
                    <w:tr2bl w:val="nil"/>
                  </w:tcBorders>
                  <w:vAlign w:val="center"/>
                </w:tcPr>
                <w:p w14:paraId="08A5901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38" w:type="dxa"/>
                  <w:tcBorders>
                    <w:tl2br w:val="nil"/>
                    <w:tr2bl w:val="nil"/>
                  </w:tcBorders>
                  <w:vAlign w:val="center"/>
                </w:tcPr>
                <w:p w14:paraId="05BCBDC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0.42</w:t>
                  </w:r>
                </w:p>
              </w:tc>
              <w:tc>
                <w:tcPr>
                  <w:tcW w:w="962" w:type="dxa"/>
                  <w:tcBorders>
                    <w:tl2br w:val="nil"/>
                    <w:tr2bl w:val="nil"/>
                  </w:tcBorders>
                  <w:vAlign w:val="center"/>
                </w:tcPr>
                <w:p w14:paraId="624D0AB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SE</w:t>
                  </w:r>
                </w:p>
              </w:tc>
              <w:tc>
                <w:tcPr>
                  <w:tcW w:w="841" w:type="dxa"/>
                  <w:tcBorders>
                    <w:tl2br w:val="nil"/>
                    <w:tr2bl w:val="nil"/>
                  </w:tcBorders>
                  <w:vAlign w:val="center"/>
                </w:tcPr>
                <w:p w14:paraId="6DF878A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1.06</w:t>
                  </w:r>
                </w:p>
              </w:tc>
              <w:tc>
                <w:tcPr>
                  <w:tcW w:w="650" w:type="dxa"/>
                  <w:vMerge w:val="continue"/>
                  <w:tcBorders>
                    <w:tl2br w:val="nil"/>
                    <w:tr2bl w:val="nil"/>
                  </w:tcBorders>
                  <w:shd w:val="clear" w:color="auto" w:fill="auto"/>
                  <w:vAlign w:val="center"/>
                </w:tcPr>
                <w:p w14:paraId="0B68742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p>
              </w:tc>
              <w:tc>
                <w:tcPr>
                  <w:tcW w:w="1589" w:type="dxa"/>
                  <w:vMerge w:val="continue"/>
                  <w:tcBorders>
                    <w:tl2br w:val="nil"/>
                    <w:tr2bl w:val="nil"/>
                  </w:tcBorders>
                  <w:vAlign w:val="center"/>
                </w:tcPr>
                <w:p w14:paraId="285779C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1DB708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24C752B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250" w:type="dxa"/>
                  <w:tcBorders>
                    <w:tl2br w:val="nil"/>
                    <w:tr2bl w:val="nil"/>
                  </w:tcBorders>
                  <w:vAlign w:val="center"/>
                </w:tcPr>
                <w:p w14:paraId="4F5BC07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慈林春城</w:t>
                  </w:r>
                </w:p>
              </w:tc>
              <w:tc>
                <w:tcPr>
                  <w:tcW w:w="1075" w:type="dxa"/>
                  <w:tcBorders>
                    <w:tl2br w:val="nil"/>
                    <w:tr2bl w:val="nil"/>
                  </w:tcBorders>
                  <w:vAlign w:val="center"/>
                </w:tcPr>
                <w:p w14:paraId="4183212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t>
                  </w:r>
                </w:p>
              </w:tc>
              <w:tc>
                <w:tcPr>
                  <w:tcW w:w="838" w:type="dxa"/>
                  <w:tcBorders>
                    <w:tl2br w:val="nil"/>
                    <w:tr2bl w:val="nil"/>
                  </w:tcBorders>
                  <w:vAlign w:val="center"/>
                </w:tcPr>
                <w:p w14:paraId="3A197EA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0.3</w:t>
                  </w:r>
                </w:p>
              </w:tc>
              <w:tc>
                <w:tcPr>
                  <w:tcW w:w="962" w:type="dxa"/>
                  <w:tcBorders>
                    <w:tl2br w:val="nil"/>
                    <w:tr2bl w:val="nil"/>
                  </w:tcBorders>
                  <w:vAlign w:val="center"/>
                </w:tcPr>
                <w:p w14:paraId="50CFC24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w:t>
                  </w:r>
                </w:p>
              </w:tc>
              <w:tc>
                <w:tcPr>
                  <w:tcW w:w="841" w:type="dxa"/>
                  <w:tcBorders>
                    <w:tl2br w:val="nil"/>
                    <w:tr2bl w:val="nil"/>
                  </w:tcBorders>
                  <w:vAlign w:val="center"/>
                </w:tcPr>
                <w:p w14:paraId="78A0559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1.11</w:t>
                  </w:r>
                </w:p>
              </w:tc>
              <w:tc>
                <w:tcPr>
                  <w:tcW w:w="650" w:type="dxa"/>
                  <w:vMerge w:val="continue"/>
                  <w:tcBorders>
                    <w:tl2br w:val="nil"/>
                    <w:tr2bl w:val="nil"/>
                  </w:tcBorders>
                  <w:shd w:val="clear" w:color="auto" w:fill="auto"/>
                  <w:vAlign w:val="center"/>
                </w:tcPr>
                <w:p w14:paraId="4296655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p>
              </w:tc>
              <w:tc>
                <w:tcPr>
                  <w:tcW w:w="1589" w:type="dxa"/>
                  <w:vMerge w:val="continue"/>
                  <w:tcBorders>
                    <w:tl2br w:val="nil"/>
                    <w:tr2bl w:val="nil"/>
                  </w:tcBorders>
                  <w:vAlign w:val="center"/>
                </w:tcPr>
                <w:p w14:paraId="18AEF85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2CDCAC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2" w:type="dxa"/>
                  <w:vMerge w:val="continue"/>
                  <w:tcBorders>
                    <w:tl2br w:val="nil"/>
                    <w:tr2bl w:val="nil"/>
                  </w:tcBorders>
                  <w:vAlign w:val="center"/>
                </w:tcPr>
                <w:p w14:paraId="6319B3F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c>
                <w:tcPr>
                  <w:tcW w:w="1250" w:type="dxa"/>
                  <w:tcBorders>
                    <w:tl2br w:val="nil"/>
                    <w:tr2bl w:val="nil"/>
                  </w:tcBorders>
                  <w:vAlign w:val="center"/>
                </w:tcPr>
                <w:p w14:paraId="7EC1166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崇南沟村</w:t>
                  </w:r>
                </w:p>
              </w:tc>
              <w:tc>
                <w:tcPr>
                  <w:tcW w:w="1075" w:type="dxa"/>
                  <w:tcBorders>
                    <w:tl2br w:val="nil"/>
                    <w:tr2bl w:val="nil"/>
                  </w:tcBorders>
                  <w:vAlign w:val="center"/>
                </w:tcPr>
                <w:p w14:paraId="5C14D76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W</w:t>
                  </w:r>
                </w:p>
              </w:tc>
              <w:tc>
                <w:tcPr>
                  <w:tcW w:w="838" w:type="dxa"/>
                  <w:tcBorders>
                    <w:tl2br w:val="nil"/>
                    <w:tr2bl w:val="nil"/>
                  </w:tcBorders>
                  <w:vAlign w:val="center"/>
                </w:tcPr>
                <w:p w14:paraId="2CC5108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0.47</w:t>
                  </w:r>
                </w:p>
              </w:tc>
              <w:tc>
                <w:tcPr>
                  <w:tcW w:w="962" w:type="dxa"/>
                  <w:tcBorders>
                    <w:tl2br w:val="nil"/>
                    <w:tr2bl w:val="nil"/>
                  </w:tcBorders>
                  <w:vAlign w:val="center"/>
                </w:tcPr>
                <w:p w14:paraId="6D7ED20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w:t>
                  </w:r>
                </w:p>
              </w:tc>
              <w:tc>
                <w:tcPr>
                  <w:tcW w:w="841" w:type="dxa"/>
                  <w:tcBorders>
                    <w:tl2br w:val="nil"/>
                    <w:tr2bl w:val="nil"/>
                  </w:tcBorders>
                  <w:vAlign w:val="center"/>
                </w:tcPr>
                <w:p w14:paraId="765DF46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1.29</w:t>
                  </w:r>
                </w:p>
              </w:tc>
              <w:tc>
                <w:tcPr>
                  <w:tcW w:w="650" w:type="dxa"/>
                  <w:vMerge w:val="continue"/>
                  <w:tcBorders>
                    <w:tl2br w:val="nil"/>
                    <w:tr2bl w:val="nil"/>
                  </w:tcBorders>
                  <w:shd w:val="clear" w:color="auto" w:fill="auto"/>
                  <w:vAlign w:val="center"/>
                </w:tcPr>
                <w:p w14:paraId="3C00E0C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p>
              </w:tc>
              <w:tc>
                <w:tcPr>
                  <w:tcW w:w="1589" w:type="dxa"/>
                  <w:vMerge w:val="continue"/>
                  <w:tcBorders>
                    <w:tl2br w:val="nil"/>
                    <w:tr2bl w:val="nil"/>
                  </w:tcBorders>
                  <w:vAlign w:val="center"/>
                </w:tcPr>
                <w:p w14:paraId="60C4F70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p>
              </w:tc>
            </w:tr>
            <w:tr w14:paraId="6895669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2" w:type="dxa"/>
                  <w:tcBorders>
                    <w:tl2br w:val="nil"/>
                    <w:tr2bl w:val="nil"/>
                  </w:tcBorders>
                  <w:vAlign w:val="center"/>
                </w:tcPr>
                <w:p w14:paraId="1E9C14F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声环境</w:t>
                  </w:r>
                </w:p>
              </w:tc>
              <w:tc>
                <w:tcPr>
                  <w:tcW w:w="1250" w:type="dxa"/>
                  <w:tcBorders>
                    <w:tl2br w:val="nil"/>
                    <w:tr2bl w:val="nil"/>
                  </w:tcBorders>
                  <w:vAlign w:val="center"/>
                </w:tcPr>
                <w:p w14:paraId="5BB28A9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eastAsia="宋体" w:cs="Times New Roman"/>
                      <w:color w:val="auto"/>
                      <w:spacing w:val="0"/>
                      <w:position w:val="0"/>
                      <w:sz w:val="21"/>
                      <w:szCs w:val="21"/>
                      <w:highlight w:val="none"/>
                      <w:lang w:val="en-US" w:eastAsia="zh-CN"/>
                    </w:rPr>
                    <w:t>崇瓦张村</w:t>
                  </w:r>
                </w:p>
              </w:tc>
              <w:tc>
                <w:tcPr>
                  <w:tcW w:w="1075" w:type="dxa"/>
                  <w:tcBorders>
                    <w:tl2br w:val="nil"/>
                    <w:tr2bl w:val="nil"/>
                  </w:tcBorders>
                  <w:vAlign w:val="center"/>
                </w:tcPr>
                <w:p w14:paraId="1F8F445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NW</w:t>
                  </w:r>
                </w:p>
              </w:tc>
              <w:tc>
                <w:tcPr>
                  <w:tcW w:w="838" w:type="dxa"/>
                  <w:tcBorders>
                    <w:tl2br w:val="nil"/>
                    <w:tr2bl w:val="nil"/>
                  </w:tcBorders>
                  <w:vAlign w:val="center"/>
                </w:tcPr>
                <w:p w14:paraId="143D3EE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0.001</w:t>
                  </w:r>
                </w:p>
              </w:tc>
              <w:tc>
                <w:tcPr>
                  <w:tcW w:w="962" w:type="dxa"/>
                  <w:tcBorders>
                    <w:tl2br w:val="nil"/>
                    <w:tr2bl w:val="nil"/>
                  </w:tcBorders>
                  <w:shd w:val="clear" w:color="auto" w:fill="auto"/>
                  <w:vAlign w:val="center"/>
                </w:tcPr>
                <w:p w14:paraId="5CCFB61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eastAsia" w:cs="Times New Roman"/>
                      <w:color w:val="auto"/>
                      <w:spacing w:val="0"/>
                      <w:position w:val="0"/>
                      <w:sz w:val="21"/>
                      <w:szCs w:val="21"/>
                      <w:highlight w:val="none"/>
                      <w:lang w:val="en-US" w:eastAsia="zh-CN"/>
                    </w:rPr>
                    <w:t>NW</w:t>
                  </w:r>
                </w:p>
              </w:tc>
              <w:tc>
                <w:tcPr>
                  <w:tcW w:w="841" w:type="dxa"/>
                  <w:tcBorders>
                    <w:tl2br w:val="nil"/>
                    <w:tr2bl w:val="nil"/>
                  </w:tcBorders>
                  <w:shd w:val="clear" w:color="auto" w:fill="auto"/>
                  <w:vAlign w:val="center"/>
                </w:tcPr>
                <w:p w14:paraId="351E90F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r>
                    <w:rPr>
                      <w:rFonts w:hint="eastAsia" w:cs="Times New Roman"/>
                      <w:color w:val="auto"/>
                      <w:spacing w:val="0"/>
                      <w:position w:val="0"/>
                      <w:sz w:val="21"/>
                      <w:szCs w:val="21"/>
                      <w:highlight w:val="none"/>
                      <w:lang w:val="en-US" w:eastAsia="zh-CN"/>
                    </w:rPr>
                    <w:t>1.3</w:t>
                  </w:r>
                </w:p>
              </w:tc>
              <w:tc>
                <w:tcPr>
                  <w:tcW w:w="650" w:type="dxa"/>
                  <w:tcBorders>
                    <w:tl2br w:val="nil"/>
                    <w:tr2bl w:val="nil"/>
                  </w:tcBorders>
                  <w:shd w:val="clear" w:color="auto" w:fill="auto"/>
                  <w:vAlign w:val="center"/>
                </w:tcPr>
                <w:p w14:paraId="7EFB290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r>
                    <w:rPr>
                      <w:rFonts w:hint="eastAsia" w:cs="Times New Roman"/>
                      <w:color w:val="auto"/>
                      <w:spacing w:val="0"/>
                      <w:position w:val="0"/>
                      <w:sz w:val="21"/>
                      <w:szCs w:val="21"/>
                      <w:highlight w:val="none"/>
                      <w:lang w:val="en-US" w:eastAsia="zh-CN"/>
                    </w:rPr>
                    <w:t>居民</w:t>
                  </w:r>
                </w:p>
              </w:tc>
              <w:tc>
                <w:tcPr>
                  <w:tcW w:w="1589" w:type="dxa"/>
                  <w:tcBorders>
                    <w:tl2br w:val="nil"/>
                    <w:tr2bl w:val="nil"/>
                  </w:tcBorders>
                  <w:shd w:val="clear" w:color="auto" w:fill="auto"/>
                  <w:vAlign w:val="center"/>
                </w:tcPr>
                <w:p w14:paraId="6C4CBBA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eastAsia"/>
                      <w:color w:val="auto"/>
                      <w:szCs w:val="21"/>
                    </w:rPr>
                    <w:t>《</w:t>
                  </w:r>
                  <w:r>
                    <w:rPr>
                      <w:color w:val="auto"/>
                      <w:szCs w:val="21"/>
                    </w:rPr>
                    <w:t>声环境质量标准》（GB3096-2008）</w:t>
                  </w:r>
                  <w:r>
                    <w:rPr>
                      <w:rFonts w:hint="eastAsia"/>
                      <w:color w:val="auto"/>
                      <w:szCs w:val="21"/>
                      <w:lang w:val="en-US" w:eastAsia="zh-CN"/>
                    </w:rPr>
                    <w:t>1</w:t>
                  </w:r>
                  <w:r>
                    <w:rPr>
                      <w:color w:val="auto"/>
                      <w:szCs w:val="21"/>
                    </w:rPr>
                    <w:t>类标准</w:t>
                  </w:r>
                </w:p>
              </w:tc>
            </w:tr>
            <w:tr w14:paraId="221A52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32" w:type="dxa"/>
                  <w:tcBorders>
                    <w:tl2br w:val="nil"/>
                    <w:tr2bl w:val="nil"/>
                  </w:tcBorders>
                  <w:vAlign w:val="center"/>
                </w:tcPr>
                <w:p w14:paraId="1990EAB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ascii="Times New Roman" w:hAnsi="Times New Roman" w:cs="Times New Roman"/>
                      <w:color w:val="auto"/>
                      <w:spacing w:val="0"/>
                      <w:position w:val="0"/>
                      <w:sz w:val="21"/>
                      <w:szCs w:val="21"/>
                      <w:highlight w:val="none"/>
                      <w:lang w:val="en-US" w:eastAsia="zh-CN"/>
                    </w:rPr>
                    <w:t>地表水</w:t>
                  </w:r>
                </w:p>
              </w:tc>
              <w:tc>
                <w:tcPr>
                  <w:tcW w:w="1250" w:type="dxa"/>
                  <w:tcBorders>
                    <w:tl2br w:val="nil"/>
                    <w:tr2bl w:val="nil"/>
                  </w:tcBorders>
                  <w:vAlign w:val="center"/>
                </w:tcPr>
                <w:p w14:paraId="17FD377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小丹河</w:t>
                  </w:r>
                </w:p>
              </w:tc>
              <w:tc>
                <w:tcPr>
                  <w:tcW w:w="1075" w:type="dxa"/>
                  <w:tcBorders>
                    <w:tl2br w:val="nil"/>
                    <w:tr2bl w:val="nil"/>
                  </w:tcBorders>
                  <w:vAlign w:val="center"/>
                </w:tcPr>
                <w:p w14:paraId="799B19D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38" w:type="dxa"/>
                  <w:tcBorders>
                    <w:tl2br w:val="nil"/>
                    <w:tr2bl w:val="nil"/>
                  </w:tcBorders>
                  <w:vAlign w:val="center"/>
                </w:tcPr>
                <w:p w14:paraId="2C3DFF3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0.76</w:t>
                  </w:r>
                </w:p>
              </w:tc>
              <w:tc>
                <w:tcPr>
                  <w:tcW w:w="962" w:type="dxa"/>
                  <w:tcBorders>
                    <w:tl2br w:val="nil"/>
                    <w:tr2bl w:val="nil"/>
                  </w:tcBorders>
                  <w:vAlign w:val="center"/>
                </w:tcPr>
                <w:p w14:paraId="70D941B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S</w:t>
                  </w:r>
                </w:p>
              </w:tc>
              <w:tc>
                <w:tcPr>
                  <w:tcW w:w="841" w:type="dxa"/>
                  <w:tcBorders>
                    <w:tl2br w:val="nil"/>
                    <w:tr2bl w:val="nil"/>
                  </w:tcBorders>
                  <w:vAlign w:val="center"/>
                </w:tcPr>
                <w:p w14:paraId="454F6D1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1.06</w:t>
                  </w:r>
                </w:p>
              </w:tc>
              <w:tc>
                <w:tcPr>
                  <w:tcW w:w="650" w:type="dxa"/>
                  <w:tcBorders>
                    <w:tl2br w:val="nil"/>
                    <w:tr2bl w:val="nil"/>
                  </w:tcBorders>
                  <w:vAlign w:val="center"/>
                </w:tcPr>
                <w:p w14:paraId="33C79DE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r>
                    <w:rPr>
                      <w:rFonts w:hint="eastAsia" w:ascii="Times New Roman" w:hAnsi="Times New Roman" w:cs="Times New Roman"/>
                      <w:color w:val="auto"/>
                      <w:spacing w:val="0"/>
                      <w:position w:val="0"/>
                      <w:sz w:val="21"/>
                      <w:szCs w:val="21"/>
                      <w:highlight w:val="none"/>
                      <w:lang w:val="en-US" w:eastAsia="zh-CN"/>
                    </w:rPr>
                    <w:t>水质</w:t>
                  </w:r>
                </w:p>
              </w:tc>
              <w:tc>
                <w:tcPr>
                  <w:tcW w:w="1589" w:type="dxa"/>
                  <w:tcBorders>
                    <w:tl2br w:val="nil"/>
                    <w:tr2bl w:val="nil"/>
                  </w:tcBorders>
                  <w:vAlign w:val="center"/>
                </w:tcPr>
                <w:p w14:paraId="4D07B13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《地表水环境质量标准》（GB3838-2002）中Ⅳ类标准</w:t>
                  </w:r>
                </w:p>
              </w:tc>
            </w:tr>
            <w:tr w14:paraId="0C280E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100" w:hRule="atLeast"/>
                <w:jc w:val="center"/>
              </w:trPr>
              <w:tc>
                <w:tcPr>
                  <w:tcW w:w="732" w:type="dxa"/>
                  <w:tcBorders>
                    <w:tl2br w:val="nil"/>
                    <w:tr2bl w:val="nil"/>
                  </w:tcBorders>
                  <w:vAlign w:val="center"/>
                </w:tcPr>
                <w:p w14:paraId="5E31754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地下水</w:t>
                  </w:r>
                </w:p>
              </w:tc>
              <w:tc>
                <w:tcPr>
                  <w:tcW w:w="5616" w:type="dxa"/>
                  <w:gridSpan w:val="6"/>
                  <w:tcBorders>
                    <w:tl2br w:val="nil"/>
                    <w:tr2bl w:val="nil"/>
                  </w:tcBorders>
                  <w:vAlign w:val="center"/>
                </w:tcPr>
                <w:p w14:paraId="4651018E">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cs="Times New Roman"/>
                      <w:color w:val="auto"/>
                      <w:spacing w:val="0"/>
                      <w:position w:val="0"/>
                      <w:sz w:val="21"/>
                      <w:szCs w:val="21"/>
                      <w:highlight w:val="none"/>
                      <w:lang w:val="en-US" w:eastAsia="zh-CN"/>
                    </w:rPr>
                  </w:pPr>
                  <w:r>
                    <w:rPr>
                      <w:rFonts w:hint="eastAsia" w:ascii="Times New Roman" w:hAnsi="Times New Roman" w:cs="Times New Roman"/>
                      <w:color w:val="auto"/>
                      <w:spacing w:val="0"/>
                      <w:position w:val="0"/>
                      <w:sz w:val="21"/>
                      <w:szCs w:val="21"/>
                      <w:highlight w:val="none"/>
                      <w:lang w:val="en-US" w:eastAsia="zh-CN"/>
                    </w:rPr>
                    <w:t>500m范围内涉及</w:t>
                  </w:r>
                  <w:r>
                    <w:rPr>
                      <w:rFonts w:hint="eastAsia" w:cs="Times New Roman"/>
                      <w:color w:val="auto"/>
                      <w:spacing w:val="0"/>
                      <w:position w:val="0"/>
                      <w:sz w:val="21"/>
                      <w:szCs w:val="21"/>
                      <w:highlight w:val="none"/>
                      <w:lang w:val="en-US" w:eastAsia="zh-CN"/>
                    </w:rPr>
                    <w:t>农村</w:t>
                  </w:r>
                  <w:r>
                    <w:rPr>
                      <w:rFonts w:hint="eastAsia" w:ascii="Times New Roman" w:hAnsi="Times New Roman" w:cs="Times New Roman"/>
                      <w:color w:val="auto"/>
                      <w:spacing w:val="0"/>
                      <w:position w:val="0"/>
                      <w:sz w:val="21"/>
                      <w:szCs w:val="21"/>
                      <w:highlight w:val="none"/>
                      <w:lang w:val="en-US" w:eastAsia="zh-CN"/>
                    </w:rPr>
                    <w:t>分散式水源井</w:t>
                  </w:r>
                </w:p>
              </w:tc>
              <w:tc>
                <w:tcPr>
                  <w:tcW w:w="1589" w:type="dxa"/>
                  <w:tcBorders>
                    <w:tl2br w:val="nil"/>
                    <w:tr2bl w:val="nil"/>
                  </w:tcBorders>
                  <w:vAlign w:val="center"/>
                </w:tcPr>
                <w:p w14:paraId="568C3E0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default" w:ascii="Times New Roman" w:hAnsi="Times New Roman" w:cs="Times New Roman"/>
                      <w:color w:val="auto"/>
                      <w:spacing w:val="0"/>
                      <w:position w:val="0"/>
                      <w:sz w:val="21"/>
                      <w:szCs w:val="21"/>
                      <w:highlight w:val="none"/>
                      <w:lang w:val="en-US" w:eastAsia="zh-CN"/>
                    </w:rPr>
                    <w:t>《地下水质量标准》（GB/T14848-2017）中Ⅲ类标准</w:t>
                  </w:r>
                </w:p>
              </w:tc>
            </w:tr>
          </w:tbl>
          <w:p w14:paraId="03F6521E">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default" w:ascii="Times New Roman" w:hAnsi="Times New Roman" w:eastAsia="宋体" w:cs="Times New Roman"/>
                <w:color w:val="auto"/>
                <w:spacing w:val="0"/>
                <w:kern w:val="0"/>
                <w:position w:val="0"/>
                <w:szCs w:val="21"/>
                <w:highlight w:val="none"/>
                <w:lang w:eastAsia="zh-CN"/>
              </w:rPr>
            </w:pPr>
          </w:p>
        </w:tc>
      </w:tr>
      <w:tr w14:paraId="773E11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0" w:type="dxa"/>
            <w:tcMar>
              <w:left w:w="28" w:type="dxa"/>
              <w:right w:w="28" w:type="dxa"/>
            </w:tcMar>
            <w:vAlign w:val="center"/>
          </w:tcPr>
          <w:p w14:paraId="182ED0EB">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污染</w:t>
            </w:r>
          </w:p>
          <w:p w14:paraId="4E50E444">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物排</w:t>
            </w:r>
          </w:p>
          <w:p w14:paraId="42570596">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放控</w:t>
            </w:r>
          </w:p>
          <w:p w14:paraId="54C765D1">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制标</w:t>
            </w:r>
          </w:p>
          <w:p w14:paraId="03ED85A0">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准</w:t>
            </w:r>
          </w:p>
        </w:tc>
        <w:tc>
          <w:tcPr>
            <w:tcW w:w="8190" w:type="dxa"/>
            <w:vAlign w:val="center"/>
          </w:tcPr>
          <w:p w14:paraId="7C151FAA">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cs="Times New Roman"/>
                <w:b/>
                <w:bCs/>
                <w:color w:val="auto"/>
                <w:spacing w:val="0"/>
                <w:kern w:val="0"/>
                <w:position w:val="0"/>
                <w:sz w:val="24"/>
                <w:szCs w:val="24"/>
                <w:highlight w:val="none"/>
                <w:lang w:val="en-US" w:eastAsia="zh-CN"/>
              </w:rPr>
              <w:t>3.10</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废气</w:t>
            </w:r>
          </w:p>
          <w:p w14:paraId="4BE87F6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pacing w:val="0"/>
                <w:position w:val="0"/>
                <w:sz w:val="24"/>
                <w:highlight w:val="none"/>
              </w:rPr>
            </w:pPr>
            <w:r>
              <w:rPr>
                <w:rFonts w:hint="default" w:ascii="Times New Roman" w:hAnsi="Times New Roman" w:eastAsia="宋体" w:cs="Times New Roman"/>
                <w:color w:val="auto"/>
                <w:spacing w:val="0"/>
                <w:position w:val="0"/>
                <w:sz w:val="24"/>
                <w:highlight w:val="none"/>
              </w:rPr>
              <w:t>本项目</w:t>
            </w:r>
            <w:r>
              <w:rPr>
                <w:rFonts w:hint="eastAsia" w:cs="Times New Roman"/>
                <w:color w:val="auto"/>
                <w:spacing w:val="0"/>
                <w:position w:val="0"/>
                <w:sz w:val="24"/>
                <w:highlight w:val="none"/>
                <w:lang w:val="en-US" w:eastAsia="zh-CN"/>
              </w:rPr>
              <w:t>燃气锅炉废气执行《锅炉大气污染物排放标准》（DB14/1929-2019）中表3排放浓度限值要求</w:t>
            </w:r>
            <w:r>
              <w:rPr>
                <w:rFonts w:hint="eastAsia" w:ascii="Times New Roman" w:hAnsi="Times New Roman" w:eastAsia="宋体" w:cs="Times New Roman"/>
                <w:color w:val="auto"/>
                <w:spacing w:val="0"/>
                <w:position w:val="0"/>
                <w:sz w:val="24"/>
                <w:highlight w:val="none"/>
                <w:lang w:val="en-US" w:eastAsia="zh-CN"/>
              </w:rPr>
              <w:t>。</w:t>
            </w:r>
          </w:p>
          <w:p w14:paraId="51C5BFF2">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r>
              <w:rPr>
                <w:rFonts w:hint="default" w:ascii="Times New Roman" w:hAnsi="Times New Roman" w:eastAsia="黑体" w:cs="Times New Roman"/>
                <w:bCs/>
                <w:color w:val="auto"/>
                <w:spacing w:val="0"/>
                <w:position w:val="0"/>
                <w:sz w:val="21"/>
                <w:szCs w:val="21"/>
                <w:highlight w:val="none"/>
                <w:lang w:val="en-US" w:eastAsia="zh-CN"/>
              </w:rPr>
              <w:t>表</w:t>
            </w:r>
            <w:r>
              <w:rPr>
                <w:rFonts w:hint="eastAsia" w:eastAsia="黑体" w:cs="Times New Roman"/>
                <w:bCs/>
                <w:color w:val="auto"/>
                <w:spacing w:val="0"/>
                <w:position w:val="0"/>
                <w:sz w:val="21"/>
                <w:szCs w:val="21"/>
                <w:highlight w:val="none"/>
                <w:lang w:val="en-US" w:eastAsia="zh-CN"/>
              </w:rPr>
              <w:t xml:space="preserve">3.10-1 </w:t>
            </w:r>
            <w:r>
              <w:rPr>
                <w:rFonts w:hint="default" w:ascii="Times New Roman" w:hAnsi="Times New Roman" w:eastAsia="黑体" w:cs="Times New Roman"/>
                <w:bCs/>
                <w:color w:val="auto"/>
                <w:spacing w:val="0"/>
                <w:position w:val="0"/>
                <w:sz w:val="21"/>
                <w:szCs w:val="21"/>
                <w:highlight w:val="none"/>
                <w:lang w:val="en-US" w:eastAsia="zh-CN"/>
              </w:rPr>
              <w:t xml:space="preserve"> </w:t>
            </w:r>
            <w:r>
              <w:rPr>
                <w:rFonts w:hint="eastAsia" w:eastAsia="黑体" w:cs="Times New Roman"/>
                <w:bCs/>
                <w:color w:val="auto"/>
                <w:spacing w:val="0"/>
                <w:position w:val="0"/>
                <w:sz w:val="21"/>
                <w:szCs w:val="21"/>
                <w:highlight w:val="none"/>
                <w:lang w:val="en-US" w:eastAsia="zh-CN"/>
              </w:rPr>
              <w:t xml:space="preserve">  本项目燃气锅炉废气排放标准</w:t>
            </w:r>
          </w:p>
          <w:tbl>
            <w:tblPr>
              <w:tblStyle w:val="24"/>
              <w:tblW w:w="7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Layout w:type="fixed"/>
              <w:tblCellMar>
                <w:top w:w="0" w:type="dxa"/>
                <w:left w:w="108" w:type="dxa"/>
                <w:bottom w:w="0" w:type="dxa"/>
                <w:right w:w="108" w:type="dxa"/>
              </w:tblCellMar>
            </w:tblPr>
            <w:tblGrid>
              <w:gridCol w:w="2063"/>
              <w:gridCol w:w="1724"/>
              <w:gridCol w:w="2430"/>
              <w:gridCol w:w="1720"/>
            </w:tblGrid>
            <w:tr w14:paraId="205E9A08">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cantSplit/>
                <w:trHeight w:val="340" w:hRule="atLeast"/>
                <w:jc w:val="center"/>
              </w:trPr>
              <w:tc>
                <w:tcPr>
                  <w:tcW w:w="2063" w:type="dxa"/>
                  <w:tcBorders>
                    <w:tl2br w:val="nil"/>
                    <w:tr2bl w:val="nil"/>
                  </w:tcBorders>
                  <w:vAlign w:val="center"/>
                </w:tcPr>
                <w:p w14:paraId="47AE167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cs="Times New Roman"/>
                      <w:color w:val="auto"/>
                      <w:spacing w:val="0"/>
                      <w:position w:val="0"/>
                      <w:sz w:val="21"/>
                      <w:szCs w:val="21"/>
                      <w:highlight w:val="none"/>
                    </w:rPr>
                    <w:t>污染物</w:t>
                  </w:r>
                  <w:r>
                    <w:rPr>
                      <w:rFonts w:hint="eastAsia" w:cs="Times New Roman"/>
                      <w:color w:val="auto"/>
                      <w:spacing w:val="0"/>
                      <w:position w:val="0"/>
                      <w:sz w:val="21"/>
                      <w:szCs w:val="21"/>
                      <w:highlight w:val="none"/>
                      <w:lang w:val="en-US" w:eastAsia="zh-CN"/>
                    </w:rPr>
                    <w:t>项目</w:t>
                  </w:r>
                </w:p>
              </w:tc>
              <w:tc>
                <w:tcPr>
                  <w:tcW w:w="1724" w:type="dxa"/>
                  <w:tcBorders>
                    <w:tl2br w:val="nil"/>
                    <w:tr2bl w:val="nil"/>
                  </w:tcBorders>
                  <w:vAlign w:val="center"/>
                </w:tcPr>
                <w:p w14:paraId="1B066596">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1"/>
                      <w:szCs w:val="21"/>
                      <w:highlight w:val="none"/>
                      <w:lang w:val="en-US" w:eastAsia="zh-CN" w:bidi="ar-SA"/>
                    </w:rPr>
                  </w:pPr>
                  <w:r>
                    <w:rPr>
                      <w:rFonts w:hint="eastAsia" w:cs="Times New Roman"/>
                      <w:color w:val="auto"/>
                      <w:spacing w:val="0"/>
                      <w:position w:val="0"/>
                      <w:sz w:val="21"/>
                      <w:szCs w:val="21"/>
                      <w:highlight w:val="none"/>
                      <w:lang w:val="en-US" w:eastAsia="zh-CN"/>
                    </w:rPr>
                    <w:t>监控点</w:t>
                  </w:r>
                </w:p>
              </w:tc>
              <w:tc>
                <w:tcPr>
                  <w:tcW w:w="2430" w:type="dxa"/>
                  <w:tcBorders>
                    <w:tl2br w:val="nil"/>
                    <w:tr2bl w:val="nil"/>
                  </w:tcBorders>
                  <w:vAlign w:val="center"/>
                </w:tcPr>
                <w:p w14:paraId="5F5A661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限制要求</w:t>
                  </w:r>
                </w:p>
              </w:tc>
              <w:tc>
                <w:tcPr>
                  <w:tcW w:w="1720" w:type="dxa"/>
                  <w:tcBorders>
                    <w:tl2br w:val="nil"/>
                    <w:tr2bl w:val="nil"/>
                  </w:tcBorders>
                  <w:vAlign w:val="center"/>
                </w:tcPr>
                <w:p w14:paraId="78A9D9DC">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排放标准</w:t>
                  </w:r>
                </w:p>
              </w:tc>
            </w:tr>
            <w:tr w14:paraId="1BE9387F">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15" w:hRule="atLeast"/>
                <w:jc w:val="center"/>
              </w:trPr>
              <w:tc>
                <w:tcPr>
                  <w:tcW w:w="2063" w:type="dxa"/>
                  <w:tcBorders>
                    <w:tl2br w:val="nil"/>
                    <w:tr2bl w:val="nil"/>
                  </w:tcBorders>
                  <w:vAlign w:val="center"/>
                </w:tcPr>
                <w:p w14:paraId="68C901B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kern w:val="2"/>
                      <w:position w:val="0"/>
                      <w:sz w:val="21"/>
                      <w:szCs w:val="21"/>
                      <w:highlight w:val="none"/>
                      <w:lang w:val="en-US" w:eastAsia="zh-CN" w:bidi="ar-SA"/>
                    </w:rPr>
                  </w:pPr>
                  <w:r>
                    <w:rPr>
                      <w:rFonts w:hint="default" w:ascii="Times New Roman" w:hAnsi="Times New Roman" w:cs="Times New Roman"/>
                      <w:color w:val="auto"/>
                      <w:spacing w:val="0"/>
                      <w:position w:val="0"/>
                      <w:sz w:val="21"/>
                      <w:szCs w:val="21"/>
                      <w:highlight w:val="none"/>
                    </w:rPr>
                    <w:t>颗粒物</w:t>
                  </w:r>
                </w:p>
              </w:tc>
              <w:tc>
                <w:tcPr>
                  <w:tcW w:w="1724" w:type="dxa"/>
                  <w:vMerge w:val="restart"/>
                  <w:tcBorders>
                    <w:tl2br w:val="nil"/>
                    <w:tr2bl w:val="nil"/>
                  </w:tcBorders>
                  <w:vAlign w:val="center"/>
                </w:tcPr>
                <w:p w14:paraId="666231E3">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ascii="Times New Roman" w:hAnsi="Times New Roman" w:cs="Times New Roman"/>
                      <w:color w:val="auto"/>
                      <w:spacing w:val="0"/>
                      <w:position w:val="0"/>
                      <w:sz w:val="21"/>
                      <w:szCs w:val="21"/>
                      <w:highlight w:val="none"/>
                      <w:lang w:val="en-US" w:eastAsia="zh-CN"/>
                    </w:rPr>
                  </w:pPr>
                  <w:r>
                    <w:rPr>
                      <w:rFonts w:hint="eastAsia" w:cs="Times New Roman"/>
                      <w:color w:val="auto"/>
                      <w:spacing w:val="0"/>
                      <w:kern w:val="2"/>
                      <w:position w:val="0"/>
                      <w:sz w:val="21"/>
                      <w:szCs w:val="21"/>
                      <w:highlight w:val="none"/>
                      <w:lang w:val="en-US" w:eastAsia="zh-CN" w:bidi="ar-SA"/>
                    </w:rPr>
                    <w:t>烟囱或烟道</w:t>
                  </w:r>
                </w:p>
              </w:tc>
              <w:tc>
                <w:tcPr>
                  <w:tcW w:w="2430" w:type="dxa"/>
                  <w:tcBorders>
                    <w:tl2br w:val="nil"/>
                    <w:tr2bl w:val="nil"/>
                  </w:tcBorders>
                  <w:vAlign w:val="center"/>
                </w:tcPr>
                <w:p w14:paraId="0B8002FB">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5mg/m</w:t>
                  </w:r>
                  <w:r>
                    <w:rPr>
                      <w:rFonts w:hint="eastAsia" w:cs="Times New Roman"/>
                      <w:color w:val="auto"/>
                      <w:spacing w:val="0"/>
                      <w:position w:val="0"/>
                      <w:sz w:val="21"/>
                      <w:szCs w:val="21"/>
                      <w:highlight w:val="none"/>
                      <w:vertAlign w:val="superscript"/>
                      <w:lang w:val="en-US" w:eastAsia="zh-CN"/>
                    </w:rPr>
                    <w:t>3</w:t>
                  </w:r>
                </w:p>
              </w:tc>
              <w:tc>
                <w:tcPr>
                  <w:tcW w:w="1720" w:type="dxa"/>
                  <w:vMerge w:val="restart"/>
                  <w:tcBorders>
                    <w:tl2br w:val="nil"/>
                    <w:tr2bl w:val="nil"/>
                  </w:tcBorders>
                  <w:vAlign w:val="center"/>
                </w:tcPr>
                <w:p w14:paraId="306335E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《锅炉大气污染物排放标准》（DB14/1929-2019）</w:t>
                  </w:r>
                </w:p>
              </w:tc>
            </w:tr>
            <w:tr w14:paraId="6EC49F65">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2063" w:type="dxa"/>
                  <w:tcBorders>
                    <w:tl2br w:val="nil"/>
                    <w:tr2bl w:val="nil"/>
                  </w:tcBorders>
                  <w:vAlign w:val="center"/>
                </w:tcPr>
                <w:p w14:paraId="6F29AEB7">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ascii="Times New Roman" w:hAnsi="Times New Roman" w:eastAsia="宋体"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二氧化硫</w:t>
                  </w:r>
                </w:p>
              </w:tc>
              <w:tc>
                <w:tcPr>
                  <w:tcW w:w="1724" w:type="dxa"/>
                  <w:vMerge w:val="continue"/>
                  <w:tcBorders>
                    <w:tl2br w:val="nil"/>
                    <w:tr2bl w:val="nil"/>
                  </w:tcBorders>
                  <w:vAlign w:val="center"/>
                </w:tcPr>
                <w:p w14:paraId="44F05A1D">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kern w:val="2"/>
                      <w:position w:val="0"/>
                      <w:sz w:val="21"/>
                      <w:szCs w:val="21"/>
                      <w:highlight w:val="none"/>
                      <w:lang w:val="en-US" w:eastAsia="zh-CN" w:bidi="ar-SA"/>
                    </w:rPr>
                  </w:pPr>
                </w:p>
              </w:tc>
              <w:tc>
                <w:tcPr>
                  <w:tcW w:w="2430" w:type="dxa"/>
                  <w:tcBorders>
                    <w:tl2br w:val="nil"/>
                    <w:tr2bl w:val="nil"/>
                  </w:tcBorders>
                  <w:vAlign w:val="center"/>
                </w:tcPr>
                <w:p w14:paraId="35C62B28">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35mg/m</w:t>
                  </w:r>
                  <w:r>
                    <w:rPr>
                      <w:rFonts w:hint="eastAsia" w:cs="Times New Roman"/>
                      <w:color w:val="auto"/>
                      <w:spacing w:val="0"/>
                      <w:position w:val="0"/>
                      <w:sz w:val="21"/>
                      <w:szCs w:val="21"/>
                      <w:highlight w:val="none"/>
                      <w:vertAlign w:val="superscript"/>
                      <w:lang w:val="en-US" w:eastAsia="zh-CN"/>
                    </w:rPr>
                    <w:t>3</w:t>
                  </w:r>
                </w:p>
              </w:tc>
              <w:tc>
                <w:tcPr>
                  <w:tcW w:w="1720" w:type="dxa"/>
                  <w:vMerge w:val="continue"/>
                  <w:tcBorders>
                    <w:tl2br w:val="nil"/>
                    <w:tr2bl w:val="nil"/>
                  </w:tcBorders>
                  <w:vAlign w:val="center"/>
                </w:tcPr>
                <w:p w14:paraId="3E01C20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p>
              </w:tc>
            </w:tr>
            <w:tr w14:paraId="3EA74431">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2063" w:type="dxa"/>
                  <w:tcBorders>
                    <w:tl2br w:val="nil"/>
                    <w:tr2bl w:val="nil"/>
                  </w:tcBorders>
                  <w:vAlign w:val="center"/>
                </w:tcPr>
                <w:p w14:paraId="17A8BEB9">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氮氧化物</w:t>
                  </w:r>
                </w:p>
              </w:tc>
              <w:tc>
                <w:tcPr>
                  <w:tcW w:w="1724" w:type="dxa"/>
                  <w:vMerge w:val="continue"/>
                  <w:tcBorders>
                    <w:tl2br w:val="nil"/>
                    <w:tr2bl w:val="nil"/>
                  </w:tcBorders>
                  <w:vAlign w:val="center"/>
                </w:tcPr>
                <w:p w14:paraId="3FF5EC71">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kern w:val="2"/>
                      <w:position w:val="0"/>
                      <w:sz w:val="21"/>
                      <w:szCs w:val="21"/>
                      <w:highlight w:val="none"/>
                      <w:lang w:val="en-US" w:eastAsia="zh-CN" w:bidi="ar-SA"/>
                    </w:rPr>
                  </w:pPr>
                </w:p>
              </w:tc>
              <w:tc>
                <w:tcPr>
                  <w:tcW w:w="2430" w:type="dxa"/>
                  <w:tcBorders>
                    <w:tl2br w:val="nil"/>
                    <w:tr2bl w:val="nil"/>
                  </w:tcBorders>
                  <w:vAlign w:val="center"/>
                </w:tcPr>
                <w:p w14:paraId="640B60F5">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50mg/m</w:t>
                  </w:r>
                  <w:r>
                    <w:rPr>
                      <w:rFonts w:hint="eastAsia" w:cs="Times New Roman"/>
                      <w:color w:val="auto"/>
                      <w:spacing w:val="0"/>
                      <w:position w:val="0"/>
                      <w:sz w:val="21"/>
                      <w:szCs w:val="21"/>
                      <w:highlight w:val="none"/>
                      <w:vertAlign w:val="superscript"/>
                      <w:lang w:val="en-US" w:eastAsia="zh-CN"/>
                    </w:rPr>
                    <w:t>3</w:t>
                  </w:r>
                </w:p>
              </w:tc>
              <w:tc>
                <w:tcPr>
                  <w:tcW w:w="1720" w:type="dxa"/>
                  <w:vMerge w:val="continue"/>
                  <w:tcBorders>
                    <w:tl2br w:val="nil"/>
                    <w:tr2bl w:val="nil"/>
                  </w:tcBorders>
                  <w:vAlign w:val="center"/>
                </w:tcPr>
                <w:p w14:paraId="5B5BB64F">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p>
              </w:tc>
            </w:tr>
            <w:tr w14:paraId="2078FEAB">
              <w:tblPrEx>
                <w:tblBorders>
                  <w:top w:val="single" w:color="auto" w:sz="4" w:space="0"/>
                  <w:left w:val="single" w:color="auto" w:sz="4" w:space="0"/>
                  <w:bottom w:val="single" w:color="auto" w:sz="4" w:space="0"/>
                  <w:right w:val="single" w:color="auto" w:sz="4" w:space="0"/>
                  <w:insideH w:val="single" w:color="auto" w:sz="4" w:space="0"/>
                  <w:insideV w:val="single" w:color="auto" w:sz="6" w:space="0"/>
                </w:tblBorders>
                <w:tblCellMar>
                  <w:top w:w="0" w:type="dxa"/>
                  <w:left w:w="108" w:type="dxa"/>
                  <w:bottom w:w="0" w:type="dxa"/>
                  <w:right w:w="108" w:type="dxa"/>
                </w:tblCellMar>
              </w:tblPrEx>
              <w:trPr>
                <w:trHeight w:val="340" w:hRule="atLeast"/>
                <w:jc w:val="center"/>
              </w:trPr>
              <w:tc>
                <w:tcPr>
                  <w:tcW w:w="2063" w:type="dxa"/>
                  <w:tcBorders>
                    <w:tl2br w:val="nil"/>
                    <w:tr2bl w:val="nil"/>
                  </w:tcBorders>
                  <w:vAlign w:val="center"/>
                </w:tcPr>
                <w:p w14:paraId="54E03D0A">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林格曼黑度</w:t>
                  </w:r>
                </w:p>
              </w:tc>
              <w:tc>
                <w:tcPr>
                  <w:tcW w:w="1724" w:type="dxa"/>
                  <w:tcBorders>
                    <w:tl2br w:val="nil"/>
                    <w:tr2bl w:val="nil"/>
                  </w:tcBorders>
                  <w:vAlign w:val="center"/>
                </w:tcPr>
                <w:p w14:paraId="42189720">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kern w:val="2"/>
                      <w:position w:val="0"/>
                      <w:sz w:val="21"/>
                      <w:szCs w:val="21"/>
                      <w:highlight w:val="none"/>
                      <w:lang w:val="en-US" w:eastAsia="zh-CN" w:bidi="ar-SA"/>
                    </w:rPr>
                  </w:pPr>
                  <w:r>
                    <w:rPr>
                      <w:rFonts w:hint="eastAsia" w:cs="Times New Roman"/>
                      <w:color w:val="auto"/>
                      <w:spacing w:val="0"/>
                      <w:kern w:val="2"/>
                      <w:position w:val="0"/>
                      <w:sz w:val="21"/>
                      <w:szCs w:val="21"/>
                      <w:highlight w:val="none"/>
                      <w:lang w:val="en-US" w:eastAsia="zh-CN" w:bidi="ar-SA"/>
                    </w:rPr>
                    <w:t>烟囱排放口</w:t>
                  </w:r>
                </w:p>
              </w:tc>
              <w:tc>
                <w:tcPr>
                  <w:tcW w:w="2430" w:type="dxa"/>
                  <w:tcBorders>
                    <w:tl2br w:val="nil"/>
                    <w:tr2bl w:val="nil"/>
                  </w:tcBorders>
                  <w:vAlign w:val="center"/>
                </w:tcPr>
                <w:p w14:paraId="4C68E0D4">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default" w:cs="Times New Roman"/>
                      <w:color w:val="auto"/>
                      <w:spacing w:val="0"/>
                      <w:position w:val="0"/>
                      <w:sz w:val="21"/>
                      <w:szCs w:val="21"/>
                      <w:highlight w:val="none"/>
                      <w:lang w:val="en-US" w:eastAsia="zh-CN"/>
                    </w:rPr>
                  </w:pPr>
                  <w:r>
                    <w:rPr>
                      <w:rFonts w:hint="eastAsia" w:cs="Times New Roman"/>
                      <w:color w:val="auto"/>
                      <w:spacing w:val="0"/>
                      <w:position w:val="0"/>
                      <w:sz w:val="21"/>
                      <w:szCs w:val="21"/>
                      <w:highlight w:val="none"/>
                      <w:lang w:val="en-US" w:eastAsia="zh-CN"/>
                    </w:rPr>
                    <w:t>≤1</w:t>
                  </w:r>
                </w:p>
              </w:tc>
              <w:tc>
                <w:tcPr>
                  <w:tcW w:w="1720" w:type="dxa"/>
                  <w:vMerge w:val="continue"/>
                  <w:tcBorders>
                    <w:tl2br w:val="nil"/>
                    <w:tr2bl w:val="nil"/>
                  </w:tcBorders>
                  <w:vAlign w:val="center"/>
                </w:tcPr>
                <w:p w14:paraId="716D1592">
                  <w:pPr>
                    <w:keepNext w:val="0"/>
                    <w:keepLines w:val="0"/>
                    <w:pageBreakBefore w:val="0"/>
                    <w:widowControl w:val="0"/>
                    <w:kinsoku/>
                    <w:wordWrap/>
                    <w:overflowPunct/>
                    <w:topLinePunct w:val="0"/>
                    <w:autoSpaceDE/>
                    <w:autoSpaceDN/>
                    <w:bidi w:val="0"/>
                    <w:adjustRightInd w:val="0"/>
                    <w:snapToGrid w:val="0"/>
                    <w:spacing w:line="320" w:lineRule="exact"/>
                    <w:ind w:left="0" w:leftChars="0" w:right="0" w:rightChars="0" w:firstLine="0" w:firstLineChars="0"/>
                    <w:jc w:val="center"/>
                    <w:textAlignment w:val="auto"/>
                    <w:outlineLvl w:val="9"/>
                    <w:rPr>
                      <w:rFonts w:hint="eastAsia" w:cs="Times New Roman"/>
                      <w:color w:val="auto"/>
                      <w:spacing w:val="0"/>
                      <w:position w:val="0"/>
                      <w:sz w:val="21"/>
                      <w:szCs w:val="21"/>
                      <w:highlight w:val="none"/>
                      <w:lang w:val="en-US" w:eastAsia="zh-CN"/>
                    </w:rPr>
                  </w:pPr>
                </w:p>
              </w:tc>
            </w:tr>
          </w:tbl>
          <w:p w14:paraId="79F04313">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3.1</w:t>
            </w:r>
            <w:r>
              <w:rPr>
                <w:rFonts w:hint="eastAsia" w:cs="Times New Roman"/>
                <w:b/>
                <w:bCs/>
                <w:color w:val="auto"/>
                <w:spacing w:val="0"/>
                <w:kern w:val="0"/>
                <w:position w:val="0"/>
                <w:sz w:val="24"/>
                <w:szCs w:val="24"/>
                <w:highlight w:val="none"/>
                <w:lang w:val="en-US" w:eastAsia="zh-CN"/>
              </w:rPr>
              <w:t>1</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噪声</w:t>
            </w:r>
          </w:p>
          <w:p w14:paraId="13996285">
            <w:pPr>
              <w:keepNext w:val="0"/>
              <w:keepLines w:val="0"/>
              <w:pageBreakBefore w:val="0"/>
              <w:widowControl w:val="0"/>
              <w:kinsoku/>
              <w:wordWrap/>
              <w:overflowPunct/>
              <w:topLinePunct w:val="0"/>
              <w:autoSpaceDE/>
              <w:autoSpaceDN/>
              <w:bidi w:val="0"/>
              <w:adjustRightInd w:val="0"/>
              <w:snapToGrid w:val="0"/>
              <w:spacing w:line="46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施工期噪声执行《建筑施工噪声排放标准》（GB12523-20</w:t>
            </w:r>
            <w:r>
              <w:rPr>
                <w:rFonts w:hint="eastAsia" w:cs="Times New Roman"/>
                <w:color w:val="auto"/>
                <w:sz w:val="24"/>
                <w:highlight w:val="none"/>
                <w:lang w:val="en-US" w:eastAsia="zh-CN"/>
              </w:rPr>
              <w:t>25</w:t>
            </w:r>
            <w:r>
              <w:rPr>
                <w:rFonts w:hint="default" w:ascii="Times New Roman" w:hAnsi="Times New Roman" w:eastAsia="宋体" w:cs="Times New Roman"/>
                <w:color w:val="auto"/>
                <w:sz w:val="24"/>
                <w:highlight w:val="none"/>
                <w:lang w:val="en-US" w:eastAsia="zh-CN"/>
              </w:rPr>
              <w:t>），具体为：</w:t>
            </w:r>
          </w:p>
          <w:p w14:paraId="6B334C8C">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r>
              <w:rPr>
                <w:rFonts w:hint="default" w:ascii="Times New Roman" w:hAnsi="Times New Roman" w:eastAsia="黑体" w:cs="Times New Roman"/>
                <w:bCs/>
                <w:color w:val="auto"/>
                <w:spacing w:val="0"/>
                <w:position w:val="0"/>
                <w:sz w:val="21"/>
                <w:szCs w:val="21"/>
                <w:highlight w:val="none"/>
                <w:lang w:val="en-US" w:eastAsia="zh-CN"/>
              </w:rPr>
              <w:t>表</w:t>
            </w:r>
            <w:r>
              <w:rPr>
                <w:rFonts w:hint="eastAsia" w:eastAsia="黑体" w:cs="Times New Roman"/>
                <w:bCs/>
                <w:color w:val="auto"/>
                <w:spacing w:val="0"/>
                <w:position w:val="0"/>
                <w:sz w:val="21"/>
                <w:szCs w:val="21"/>
                <w:highlight w:val="none"/>
                <w:lang w:val="en-US" w:eastAsia="zh-CN"/>
              </w:rPr>
              <w:t>3.11-1</w:t>
            </w:r>
            <w:r>
              <w:rPr>
                <w:rFonts w:hint="default" w:ascii="Times New Roman" w:hAnsi="Times New Roman" w:eastAsia="黑体" w:cs="Times New Roman"/>
                <w:bCs/>
                <w:color w:val="auto"/>
                <w:spacing w:val="0"/>
                <w:position w:val="0"/>
                <w:sz w:val="21"/>
                <w:szCs w:val="21"/>
                <w:highlight w:val="none"/>
                <w:lang w:val="en-US" w:eastAsia="zh-CN"/>
              </w:rPr>
              <w:t xml:space="preserve">  《建筑施工噪声排放标准》（GB12523-20</w:t>
            </w:r>
            <w:r>
              <w:rPr>
                <w:rFonts w:hint="eastAsia" w:eastAsia="黑体" w:cs="Times New Roman"/>
                <w:bCs/>
                <w:color w:val="auto"/>
                <w:spacing w:val="0"/>
                <w:position w:val="0"/>
                <w:sz w:val="21"/>
                <w:szCs w:val="21"/>
                <w:highlight w:val="none"/>
                <w:lang w:val="en-US" w:eastAsia="zh-CN"/>
              </w:rPr>
              <w:t>25</w:t>
            </w:r>
            <w:r>
              <w:rPr>
                <w:rFonts w:hint="default" w:ascii="Times New Roman" w:hAnsi="Times New Roman" w:eastAsia="黑体" w:cs="Times New Roman"/>
                <w:bCs/>
                <w:color w:val="auto"/>
                <w:spacing w:val="0"/>
                <w:position w:val="0"/>
                <w:sz w:val="21"/>
                <w:szCs w:val="21"/>
                <w:highlight w:val="none"/>
                <w:lang w:val="en-US" w:eastAsia="zh-CN"/>
              </w:rPr>
              <w:t>）</w:t>
            </w:r>
          </w:p>
          <w:tbl>
            <w:tblPr>
              <w:tblStyle w:val="24"/>
              <w:tblW w:w="49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1"/>
              <w:gridCol w:w="3879"/>
            </w:tblGrid>
            <w:tr w14:paraId="11E9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32" w:type="pct"/>
                  <w:tcBorders>
                    <w:tl2br w:val="nil"/>
                    <w:tr2bl w:val="nil"/>
                  </w:tcBorders>
                  <w:noWrap w:val="0"/>
                  <w:vAlign w:val="center"/>
                </w:tcPr>
                <w:p w14:paraId="0791BB2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昼间</w:t>
                  </w:r>
                </w:p>
              </w:tc>
              <w:tc>
                <w:tcPr>
                  <w:tcW w:w="2467" w:type="pct"/>
                  <w:tcBorders>
                    <w:tl2br w:val="nil"/>
                    <w:tr2bl w:val="nil"/>
                  </w:tcBorders>
                  <w:noWrap w:val="0"/>
                  <w:vAlign w:val="center"/>
                </w:tcPr>
                <w:p w14:paraId="10928E0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夜间</w:t>
                  </w:r>
                </w:p>
              </w:tc>
            </w:tr>
            <w:tr w14:paraId="31277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532" w:type="pct"/>
                  <w:tcBorders>
                    <w:tl2br w:val="nil"/>
                    <w:tr2bl w:val="nil"/>
                  </w:tcBorders>
                  <w:noWrap w:val="0"/>
                  <w:vAlign w:val="center"/>
                </w:tcPr>
                <w:p w14:paraId="395D535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70dB(A)</w:t>
                  </w:r>
                </w:p>
              </w:tc>
              <w:tc>
                <w:tcPr>
                  <w:tcW w:w="2467" w:type="pct"/>
                  <w:tcBorders>
                    <w:tl2br w:val="nil"/>
                    <w:tr2bl w:val="nil"/>
                  </w:tcBorders>
                  <w:noWrap w:val="0"/>
                  <w:vAlign w:val="center"/>
                </w:tcPr>
                <w:p w14:paraId="4F94DE1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Cs w:val="21"/>
                    </w:rPr>
                  </w:pPr>
                  <w:r>
                    <w:rPr>
                      <w:rFonts w:hint="default" w:ascii="Times New Roman" w:hAnsi="Times New Roman" w:eastAsia="宋体" w:cs="Times New Roman"/>
                      <w:color w:val="auto"/>
                      <w:szCs w:val="21"/>
                    </w:rPr>
                    <w:t>55dB(A)</w:t>
                  </w:r>
                </w:p>
              </w:tc>
            </w:tr>
          </w:tbl>
          <w:p w14:paraId="6E39DF96">
            <w:pPr>
              <w:keepNext w:val="0"/>
              <w:keepLines w:val="0"/>
              <w:pageBreakBefore w:val="0"/>
              <w:widowControl w:val="0"/>
              <w:kinsoku/>
              <w:wordWrap/>
              <w:overflowPunct/>
              <w:topLinePunct w:val="0"/>
              <w:autoSpaceDE/>
              <w:autoSpaceDN/>
              <w:bidi w:val="0"/>
              <w:adjustRightInd w:val="0"/>
              <w:snapToGrid w:val="0"/>
              <w:spacing w:line="460" w:lineRule="exact"/>
              <w:ind w:firstLine="48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本项目运营期执行《工业企业厂界环境噪声排放标准》</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GB12348-2008</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中</w:t>
            </w:r>
            <w:r>
              <w:rPr>
                <w:rFonts w:hint="eastAsia" w:cs="Times New Roman"/>
                <w:color w:val="auto"/>
                <w:sz w:val="24"/>
                <w:highlight w:val="none"/>
                <w:lang w:val="en-US" w:eastAsia="zh-CN"/>
              </w:rPr>
              <w:t>2</w:t>
            </w:r>
            <w:r>
              <w:rPr>
                <w:rFonts w:hint="default" w:ascii="Times New Roman" w:hAnsi="Times New Roman" w:eastAsia="宋体" w:cs="Times New Roman"/>
                <w:color w:val="auto"/>
                <w:sz w:val="24"/>
                <w:highlight w:val="none"/>
                <w:lang w:val="en-US" w:eastAsia="zh-CN"/>
              </w:rPr>
              <w:t>类标准，具体为：</w:t>
            </w:r>
          </w:p>
          <w:p w14:paraId="189F855D">
            <w:pPr>
              <w:spacing w:line="480" w:lineRule="exact"/>
              <w:ind w:right="-40"/>
              <w:jc w:val="center"/>
              <w:rPr>
                <w:rFonts w:hint="default" w:ascii="Times New Roman" w:hAnsi="Times New Roman" w:eastAsia="黑体" w:cs="Times New Roman"/>
                <w:bCs/>
                <w:color w:val="auto"/>
                <w:spacing w:val="0"/>
                <w:position w:val="0"/>
                <w:sz w:val="21"/>
                <w:szCs w:val="21"/>
                <w:highlight w:val="none"/>
                <w:lang w:val="en-US" w:eastAsia="zh-CN"/>
              </w:rPr>
            </w:pPr>
            <w:r>
              <w:rPr>
                <w:rFonts w:hint="default" w:ascii="Times New Roman" w:hAnsi="Times New Roman" w:eastAsia="黑体" w:cs="Times New Roman"/>
                <w:bCs/>
                <w:color w:val="auto"/>
                <w:spacing w:val="0"/>
                <w:position w:val="0"/>
                <w:sz w:val="21"/>
                <w:szCs w:val="21"/>
                <w:highlight w:val="none"/>
                <w:lang w:val="en-US" w:eastAsia="zh-CN"/>
              </w:rPr>
              <w:t>表</w:t>
            </w:r>
            <w:r>
              <w:rPr>
                <w:rFonts w:hint="eastAsia" w:eastAsia="黑体" w:cs="Times New Roman"/>
                <w:bCs/>
                <w:color w:val="auto"/>
                <w:spacing w:val="0"/>
                <w:position w:val="0"/>
                <w:sz w:val="21"/>
                <w:szCs w:val="21"/>
                <w:highlight w:val="none"/>
                <w:lang w:val="en-US" w:eastAsia="zh-CN"/>
              </w:rPr>
              <w:t>3.11-2</w:t>
            </w:r>
            <w:r>
              <w:rPr>
                <w:rFonts w:hint="default" w:ascii="Times New Roman" w:hAnsi="Times New Roman" w:eastAsia="黑体" w:cs="Times New Roman"/>
                <w:bCs/>
                <w:color w:val="auto"/>
                <w:spacing w:val="0"/>
                <w:position w:val="0"/>
                <w:sz w:val="21"/>
                <w:szCs w:val="21"/>
                <w:highlight w:val="none"/>
                <w:lang w:val="en-US" w:eastAsia="zh-CN"/>
              </w:rPr>
              <w:t xml:space="preserve">  </w:t>
            </w:r>
            <w:r>
              <w:rPr>
                <w:rFonts w:hint="eastAsia" w:eastAsia="黑体" w:cs="Times New Roman"/>
                <w:bCs/>
                <w:color w:val="auto"/>
                <w:spacing w:val="0"/>
                <w:position w:val="0"/>
                <w:sz w:val="21"/>
                <w:szCs w:val="21"/>
                <w:highlight w:val="none"/>
                <w:lang w:val="en-US" w:eastAsia="zh-CN"/>
              </w:rPr>
              <w:t xml:space="preserve"> </w:t>
            </w:r>
            <w:r>
              <w:rPr>
                <w:rFonts w:hint="default" w:ascii="Times New Roman" w:hAnsi="Times New Roman" w:eastAsia="黑体" w:cs="Times New Roman"/>
                <w:bCs/>
                <w:color w:val="auto"/>
                <w:spacing w:val="0"/>
                <w:position w:val="0"/>
                <w:sz w:val="21"/>
                <w:szCs w:val="21"/>
                <w:highlight w:val="none"/>
                <w:lang w:val="en-US" w:eastAsia="zh-CN"/>
              </w:rPr>
              <w:t>《</w:t>
            </w:r>
            <w:r>
              <w:rPr>
                <w:rFonts w:hint="default" w:ascii="Times New Roman" w:hAnsi="Times New Roman" w:eastAsia="黑体" w:cs="Times New Roman"/>
                <w:bCs/>
                <w:color w:val="auto"/>
                <w:spacing w:val="0"/>
                <w:position w:val="0"/>
                <w:sz w:val="21"/>
                <w:szCs w:val="21"/>
                <w:highlight w:val="none"/>
                <w:lang w:val="en-US" w:eastAsia="zh-CN"/>
              </w:rPr>
              <w:fldChar w:fldCharType="begin"/>
            </w:r>
            <w:r>
              <w:rPr>
                <w:rFonts w:hint="default" w:ascii="Times New Roman" w:hAnsi="Times New Roman" w:eastAsia="黑体" w:cs="Times New Roman"/>
                <w:bCs/>
                <w:color w:val="auto"/>
                <w:spacing w:val="0"/>
                <w:position w:val="0"/>
                <w:sz w:val="21"/>
                <w:szCs w:val="21"/>
                <w:highlight w:val="none"/>
                <w:lang w:val="en-US" w:eastAsia="zh-CN"/>
              </w:rPr>
              <w:instrText xml:space="preserve"> HYPERLINK "http://www.mep.gov.cn/info/bgw/bgg/200809/W020081017399508921576.pdf" \t "_self" </w:instrText>
            </w:r>
            <w:r>
              <w:rPr>
                <w:rFonts w:hint="default" w:ascii="Times New Roman" w:hAnsi="Times New Roman" w:eastAsia="黑体" w:cs="Times New Roman"/>
                <w:bCs/>
                <w:color w:val="auto"/>
                <w:spacing w:val="0"/>
                <w:position w:val="0"/>
                <w:sz w:val="21"/>
                <w:szCs w:val="21"/>
                <w:highlight w:val="none"/>
                <w:lang w:val="en-US" w:eastAsia="zh-CN"/>
              </w:rPr>
              <w:fldChar w:fldCharType="separate"/>
            </w:r>
            <w:r>
              <w:rPr>
                <w:rFonts w:hint="default" w:ascii="Times New Roman" w:hAnsi="Times New Roman" w:eastAsia="黑体" w:cs="Times New Roman"/>
                <w:bCs/>
                <w:color w:val="auto"/>
                <w:spacing w:val="0"/>
                <w:position w:val="0"/>
                <w:sz w:val="21"/>
                <w:szCs w:val="21"/>
                <w:highlight w:val="none"/>
                <w:lang w:val="en-US" w:eastAsia="zh-CN"/>
              </w:rPr>
              <w:t>工业企业厂界环境噪声</w:t>
            </w:r>
            <w:r>
              <w:rPr>
                <w:rFonts w:hint="default" w:ascii="Times New Roman" w:hAnsi="Times New Roman" w:eastAsia="黑体" w:cs="Times New Roman"/>
                <w:bCs/>
                <w:color w:val="auto"/>
                <w:spacing w:val="0"/>
                <w:position w:val="0"/>
                <w:sz w:val="21"/>
                <w:szCs w:val="21"/>
                <w:highlight w:val="none"/>
                <w:lang w:val="en-US" w:eastAsia="zh-CN"/>
              </w:rPr>
              <w:fldChar w:fldCharType="end"/>
            </w:r>
            <w:r>
              <w:rPr>
                <w:rFonts w:hint="default" w:ascii="Times New Roman" w:hAnsi="Times New Roman" w:eastAsia="黑体" w:cs="Times New Roman"/>
                <w:bCs/>
                <w:color w:val="auto"/>
                <w:spacing w:val="0"/>
                <w:position w:val="0"/>
                <w:sz w:val="21"/>
                <w:szCs w:val="21"/>
                <w:highlight w:val="none"/>
                <w:lang w:val="en-US" w:eastAsia="zh-CN"/>
              </w:rPr>
              <w:t>排放标准》（GB12348-2008）</w:t>
            </w:r>
          </w:p>
          <w:tbl>
            <w:tblPr>
              <w:tblStyle w:val="24"/>
              <w:tblW w:w="7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6"/>
              <w:gridCol w:w="2646"/>
              <w:gridCol w:w="2646"/>
            </w:tblGrid>
            <w:tr w14:paraId="091A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6" w:type="dxa"/>
                  <w:tcBorders>
                    <w:tl2br w:val="nil"/>
                    <w:tr2bl w:val="nil"/>
                  </w:tcBorders>
                  <w:vAlign w:val="center"/>
                </w:tcPr>
                <w:p w14:paraId="69E477A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rPr>
                  </w:pPr>
                  <w:r>
                    <w:rPr>
                      <w:rFonts w:hint="default" w:ascii="Times New Roman" w:hAnsi="Times New Roman" w:eastAsia="宋体" w:cs="Times New Roman"/>
                      <w:bCs/>
                      <w:color w:val="auto"/>
                      <w:spacing w:val="0"/>
                      <w:position w:val="0"/>
                      <w:szCs w:val="21"/>
                      <w:highlight w:val="none"/>
                    </w:rPr>
                    <w:t>类别</w:t>
                  </w:r>
                </w:p>
              </w:tc>
              <w:tc>
                <w:tcPr>
                  <w:tcW w:w="2646" w:type="dxa"/>
                  <w:tcBorders>
                    <w:tl2br w:val="nil"/>
                    <w:tr2bl w:val="nil"/>
                  </w:tcBorders>
                  <w:vAlign w:val="center"/>
                </w:tcPr>
                <w:p w14:paraId="0844177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rPr>
                  </w:pPr>
                  <w:r>
                    <w:rPr>
                      <w:rFonts w:hint="default" w:ascii="Times New Roman" w:hAnsi="Times New Roman" w:eastAsia="宋体" w:cs="Times New Roman"/>
                      <w:bCs/>
                      <w:color w:val="auto"/>
                      <w:spacing w:val="0"/>
                      <w:position w:val="0"/>
                      <w:szCs w:val="21"/>
                      <w:highlight w:val="none"/>
                    </w:rPr>
                    <w:t>昼间（dB</w:t>
                  </w:r>
                  <w:r>
                    <w:rPr>
                      <w:rFonts w:hint="eastAsia" w:ascii="Times New Roman" w:hAnsi="Times New Roman" w:eastAsia="宋体" w:cs="Times New Roman"/>
                      <w:bCs/>
                      <w:color w:val="auto"/>
                      <w:spacing w:val="0"/>
                      <w:position w:val="0"/>
                      <w:szCs w:val="21"/>
                      <w:highlight w:val="none"/>
                      <w:lang w:val="en-US" w:eastAsia="zh-CN"/>
                    </w:rPr>
                    <w:t>(</w:t>
                  </w:r>
                  <w:r>
                    <w:rPr>
                      <w:rFonts w:hint="default" w:ascii="Times New Roman" w:hAnsi="Times New Roman" w:eastAsia="宋体" w:cs="Times New Roman"/>
                      <w:bCs/>
                      <w:color w:val="auto"/>
                      <w:spacing w:val="0"/>
                      <w:position w:val="0"/>
                      <w:szCs w:val="21"/>
                      <w:highlight w:val="none"/>
                    </w:rPr>
                    <w:t>A</w:t>
                  </w:r>
                  <w:r>
                    <w:rPr>
                      <w:rFonts w:hint="eastAsia" w:ascii="Times New Roman" w:hAnsi="Times New Roman" w:eastAsia="宋体" w:cs="Times New Roman"/>
                      <w:bCs/>
                      <w:color w:val="auto"/>
                      <w:spacing w:val="0"/>
                      <w:position w:val="0"/>
                      <w:szCs w:val="21"/>
                      <w:highlight w:val="none"/>
                      <w:lang w:val="en-US" w:eastAsia="zh-CN"/>
                    </w:rPr>
                    <w:t>)</w:t>
                  </w:r>
                  <w:r>
                    <w:rPr>
                      <w:rFonts w:hint="default" w:ascii="Times New Roman" w:hAnsi="Times New Roman" w:eastAsia="宋体" w:cs="Times New Roman"/>
                      <w:bCs/>
                      <w:color w:val="auto"/>
                      <w:spacing w:val="0"/>
                      <w:position w:val="0"/>
                      <w:szCs w:val="21"/>
                      <w:highlight w:val="none"/>
                    </w:rPr>
                    <w:t>）</w:t>
                  </w:r>
                </w:p>
              </w:tc>
              <w:tc>
                <w:tcPr>
                  <w:tcW w:w="2646" w:type="dxa"/>
                  <w:tcBorders>
                    <w:tl2br w:val="nil"/>
                    <w:tr2bl w:val="nil"/>
                  </w:tcBorders>
                  <w:vAlign w:val="center"/>
                </w:tcPr>
                <w:p w14:paraId="38CEB29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rPr>
                  </w:pPr>
                  <w:r>
                    <w:rPr>
                      <w:rFonts w:hint="default" w:ascii="Times New Roman" w:hAnsi="Times New Roman" w:eastAsia="宋体" w:cs="Times New Roman"/>
                      <w:bCs/>
                      <w:color w:val="auto"/>
                      <w:spacing w:val="0"/>
                      <w:position w:val="0"/>
                      <w:szCs w:val="21"/>
                      <w:highlight w:val="none"/>
                    </w:rPr>
                    <w:t>夜间（dB</w:t>
                  </w:r>
                  <w:r>
                    <w:rPr>
                      <w:rFonts w:hint="eastAsia" w:ascii="Times New Roman" w:hAnsi="Times New Roman" w:eastAsia="宋体" w:cs="Times New Roman"/>
                      <w:bCs/>
                      <w:color w:val="auto"/>
                      <w:spacing w:val="0"/>
                      <w:position w:val="0"/>
                      <w:szCs w:val="21"/>
                      <w:highlight w:val="none"/>
                      <w:lang w:val="en-US" w:eastAsia="zh-CN"/>
                    </w:rPr>
                    <w:t>(</w:t>
                  </w:r>
                  <w:r>
                    <w:rPr>
                      <w:rFonts w:hint="default" w:ascii="Times New Roman" w:hAnsi="Times New Roman" w:eastAsia="宋体" w:cs="Times New Roman"/>
                      <w:bCs/>
                      <w:color w:val="auto"/>
                      <w:spacing w:val="0"/>
                      <w:position w:val="0"/>
                      <w:szCs w:val="21"/>
                      <w:highlight w:val="none"/>
                    </w:rPr>
                    <w:t>A</w:t>
                  </w:r>
                  <w:r>
                    <w:rPr>
                      <w:rFonts w:hint="eastAsia" w:ascii="Times New Roman" w:hAnsi="Times New Roman" w:eastAsia="宋体" w:cs="Times New Roman"/>
                      <w:bCs/>
                      <w:color w:val="auto"/>
                      <w:spacing w:val="0"/>
                      <w:position w:val="0"/>
                      <w:szCs w:val="21"/>
                      <w:highlight w:val="none"/>
                      <w:lang w:val="en-US" w:eastAsia="zh-CN"/>
                    </w:rPr>
                    <w:t>)</w:t>
                  </w:r>
                  <w:r>
                    <w:rPr>
                      <w:rFonts w:hint="default" w:ascii="Times New Roman" w:hAnsi="Times New Roman" w:eastAsia="宋体" w:cs="Times New Roman"/>
                      <w:bCs/>
                      <w:color w:val="auto"/>
                      <w:spacing w:val="0"/>
                      <w:position w:val="0"/>
                      <w:szCs w:val="21"/>
                      <w:highlight w:val="none"/>
                    </w:rPr>
                    <w:t>）</w:t>
                  </w:r>
                </w:p>
              </w:tc>
            </w:tr>
            <w:tr w14:paraId="35AF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6" w:type="dxa"/>
                  <w:tcBorders>
                    <w:tl2br w:val="nil"/>
                    <w:tr2bl w:val="nil"/>
                  </w:tcBorders>
                  <w:vAlign w:val="center"/>
                </w:tcPr>
                <w:p w14:paraId="7186D19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eastAsia" w:cs="Times New Roman"/>
                      <w:bCs/>
                      <w:color w:val="auto"/>
                      <w:spacing w:val="0"/>
                      <w:position w:val="0"/>
                      <w:szCs w:val="21"/>
                      <w:highlight w:val="none"/>
                      <w:lang w:val="en-US" w:eastAsia="zh-CN"/>
                    </w:rPr>
                    <w:t>2</w:t>
                  </w:r>
                </w:p>
              </w:tc>
              <w:tc>
                <w:tcPr>
                  <w:tcW w:w="2646" w:type="dxa"/>
                  <w:tcBorders>
                    <w:tl2br w:val="nil"/>
                    <w:tr2bl w:val="nil"/>
                  </w:tcBorders>
                  <w:vAlign w:val="center"/>
                </w:tcPr>
                <w:p w14:paraId="5CCC667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eastAsia" w:cs="Times New Roman"/>
                      <w:bCs/>
                      <w:color w:val="auto"/>
                      <w:spacing w:val="0"/>
                      <w:position w:val="0"/>
                      <w:szCs w:val="21"/>
                      <w:highlight w:val="none"/>
                      <w:lang w:val="en-US" w:eastAsia="zh-CN"/>
                    </w:rPr>
                    <w:t>60</w:t>
                  </w:r>
                </w:p>
              </w:tc>
              <w:tc>
                <w:tcPr>
                  <w:tcW w:w="2646" w:type="dxa"/>
                  <w:tcBorders>
                    <w:tl2br w:val="nil"/>
                    <w:tr2bl w:val="nil"/>
                  </w:tcBorders>
                  <w:vAlign w:val="center"/>
                </w:tcPr>
                <w:p w14:paraId="1D5028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bCs/>
                      <w:color w:val="auto"/>
                      <w:spacing w:val="0"/>
                      <w:position w:val="0"/>
                      <w:szCs w:val="21"/>
                      <w:highlight w:val="none"/>
                      <w:lang w:val="en-US" w:eastAsia="zh-CN"/>
                    </w:rPr>
                  </w:pPr>
                  <w:r>
                    <w:rPr>
                      <w:rFonts w:hint="eastAsia" w:cs="Times New Roman"/>
                      <w:bCs/>
                      <w:color w:val="auto"/>
                      <w:spacing w:val="0"/>
                      <w:position w:val="0"/>
                      <w:szCs w:val="21"/>
                      <w:highlight w:val="none"/>
                      <w:lang w:val="en-US" w:eastAsia="zh-CN"/>
                    </w:rPr>
                    <w:t>50</w:t>
                  </w:r>
                </w:p>
              </w:tc>
            </w:tr>
          </w:tbl>
          <w:p w14:paraId="0FD417D0">
            <w:pPr>
              <w:keepNext w:val="0"/>
              <w:keepLines w:val="0"/>
              <w:pageBreakBefore w:val="0"/>
              <w:widowControl w:val="0"/>
              <w:kinsoku/>
              <w:wordWrap/>
              <w:overflowPunct/>
              <w:topLinePunct w:val="0"/>
              <w:autoSpaceDE w:val="0"/>
              <w:autoSpaceDN w:val="0"/>
              <w:bidi w:val="0"/>
              <w:adjustRightInd w:val="0"/>
              <w:snapToGrid w:val="0"/>
              <w:spacing w:line="480" w:lineRule="exact"/>
              <w:ind w:firstLine="482" w:firstLineChars="200"/>
              <w:jc w:val="both"/>
              <w:textAlignment w:val="auto"/>
              <w:rPr>
                <w:rFonts w:hint="default" w:ascii="Times New Roman" w:hAnsi="Times New Roman" w:eastAsia="宋体" w:cs="Times New Roman"/>
                <w:b/>
                <w:bCs/>
                <w:color w:val="auto"/>
                <w:spacing w:val="0"/>
                <w:kern w:val="0"/>
                <w:position w:val="0"/>
                <w:sz w:val="24"/>
                <w:szCs w:val="24"/>
                <w:highlight w:val="none"/>
                <w:lang w:val="en-US" w:eastAsia="zh-CN"/>
              </w:rPr>
            </w:pPr>
            <w:r>
              <w:rPr>
                <w:rFonts w:hint="eastAsia" w:ascii="Times New Roman" w:hAnsi="Times New Roman" w:eastAsia="宋体" w:cs="Times New Roman"/>
                <w:b/>
                <w:bCs/>
                <w:color w:val="auto"/>
                <w:spacing w:val="0"/>
                <w:kern w:val="0"/>
                <w:position w:val="0"/>
                <w:sz w:val="24"/>
                <w:szCs w:val="24"/>
                <w:highlight w:val="none"/>
                <w:lang w:val="en-US" w:eastAsia="zh-CN"/>
              </w:rPr>
              <w:t>3.1</w:t>
            </w:r>
            <w:r>
              <w:rPr>
                <w:rFonts w:hint="eastAsia" w:cs="Times New Roman"/>
                <w:b/>
                <w:bCs/>
                <w:color w:val="auto"/>
                <w:spacing w:val="0"/>
                <w:kern w:val="0"/>
                <w:position w:val="0"/>
                <w:sz w:val="24"/>
                <w:szCs w:val="24"/>
                <w:highlight w:val="none"/>
                <w:lang w:val="en-US" w:eastAsia="zh-CN"/>
              </w:rPr>
              <w:t>2</w:t>
            </w:r>
            <w:r>
              <w:rPr>
                <w:rFonts w:hint="eastAsia" w:ascii="Times New Roman" w:hAnsi="Times New Roman" w:eastAsia="宋体" w:cs="Times New Roman"/>
                <w:b/>
                <w:bCs/>
                <w:color w:val="auto"/>
                <w:spacing w:val="0"/>
                <w:kern w:val="0"/>
                <w:position w:val="0"/>
                <w:sz w:val="24"/>
                <w:szCs w:val="24"/>
                <w:highlight w:val="none"/>
                <w:lang w:val="en-US" w:eastAsia="zh-CN"/>
              </w:rPr>
              <w:t xml:space="preserve"> </w:t>
            </w:r>
            <w:r>
              <w:rPr>
                <w:rFonts w:hint="default" w:ascii="Times New Roman" w:hAnsi="Times New Roman" w:eastAsia="宋体" w:cs="Times New Roman"/>
                <w:b/>
                <w:bCs/>
                <w:color w:val="auto"/>
                <w:spacing w:val="0"/>
                <w:kern w:val="0"/>
                <w:position w:val="0"/>
                <w:sz w:val="24"/>
                <w:szCs w:val="24"/>
                <w:highlight w:val="none"/>
                <w:lang w:val="en-US" w:eastAsia="zh-CN"/>
              </w:rPr>
              <w:t>固体废物</w:t>
            </w:r>
          </w:p>
          <w:p w14:paraId="672D9500">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lang w:eastAsia="zh-CN"/>
              </w:rPr>
            </w:pPr>
            <w:r>
              <w:rPr>
                <w:rFonts w:hint="default" w:ascii="Times New Roman" w:hAnsi="Times New Roman" w:eastAsia="宋体" w:cs="Times New Roman"/>
                <w:color w:val="auto"/>
                <w:spacing w:val="0"/>
                <w:position w:val="0"/>
                <w:sz w:val="24"/>
                <w:highlight w:val="none"/>
                <w:lang w:val="en-US" w:eastAsia="zh-CN"/>
              </w:rPr>
              <w:t>一般固体废物执行《一般工业固体废物贮存和填埋污染控制标准》（GB18599-2020）中的有关规定；采用库房、包装工具(罐、桶、包装袋等)贮存一般工业固体废物的，其贮存过程应满足防渗漏、防雨淋、防扬尘等环境保护要求。</w:t>
            </w:r>
          </w:p>
        </w:tc>
      </w:tr>
      <w:tr w14:paraId="34ADD4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7" w:hRule="atLeast"/>
          <w:jc w:val="center"/>
        </w:trPr>
        <w:tc>
          <w:tcPr>
            <w:tcW w:w="800" w:type="dxa"/>
            <w:vAlign w:val="center"/>
          </w:tcPr>
          <w:p w14:paraId="1CF1BF34">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总量</w:t>
            </w:r>
          </w:p>
          <w:p w14:paraId="1257AE7C">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控制</w:t>
            </w:r>
          </w:p>
          <w:p w14:paraId="44DF0343">
            <w:pPr>
              <w:adjustRightInd w:val="0"/>
              <w:snapToGrid w:val="0"/>
              <w:jc w:val="center"/>
              <w:rPr>
                <w:rFonts w:hint="default" w:ascii="Times New Roman" w:hAnsi="Times New Roman" w:cs="Times New Roman"/>
                <w:color w:val="auto"/>
                <w:spacing w:val="0"/>
                <w:kern w:val="0"/>
                <w:position w:val="0"/>
                <w:szCs w:val="21"/>
                <w:highlight w:val="none"/>
              </w:rPr>
            </w:pPr>
            <w:r>
              <w:rPr>
                <w:rFonts w:hint="default" w:ascii="Times New Roman" w:hAnsi="Times New Roman" w:cs="Times New Roman"/>
                <w:color w:val="auto"/>
                <w:spacing w:val="0"/>
                <w:kern w:val="0"/>
                <w:position w:val="0"/>
                <w:szCs w:val="21"/>
                <w:highlight w:val="none"/>
              </w:rPr>
              <w:t>指标</w:t>
            </w:r>
          </w:p>
        </w:tc>
        <w:tc>
          <w:tcPr>
            <w:tcW w:w="8190" w:type="dxa"/>
            <w:vAlign w:val="center"/>
          </w:tcPr>
          <w:p w14:paraId="74460784">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rPr>
            </w:pPr>
          </w:p>
          <w:p w14:paraId="1E23FA22">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color w:val="auto"/>
                <w:spacing w:val="0"/>
                <w:position w:val="0"/>
                <w:sz w:val="24"/>
                <w:highlight w:val="none"/>
              </w:rPr>
            </w:pPr>
          </w:p>
          <w:p w14:paraId="2B64DB5B">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eastAsia" w:ascii="Times New Roman" w:hAnsi="Times New Roman" w:eastAsia="宋体" w:cs="Times New Roman"/>
                <w:color w:val="auto"/>
                <w:spacing w:val="0"/>
                <w:position w:val="0"/>
                <w:sz w:val="24"/>
                <w:highlight w:val="none"/>
                <w:lang w:val="en-US" w:eastAsia="zh-CN"/>
              </w:rPr>
            </w:pPr>
            <w:r>
              <w:rPr>
                <w:rFonts w:hint="eastAsia" w:ascii="Times New Roman" w:hAnsi="Times New Roman" w:eastAsia="宋体" w:cs="Times New Roman"/>
                <w:color w:val="auto"/>
                <w:spacing w:val="0"/>
                <w:position w:val="0"/>
                <w:sz w:val="24"/>
                <w:highlight w:val="none"/>
                <w:lang w:val="en-US" w:eastAsia="zh-CN"/>
              </w:rPr>
              <w:t>根据山西省生态环境厅《建设项目主要污染物排放总量指标核定暂行办法》（晋环规[2023]1号）文规定，“实施排放总量控制的主要污染物包括氮氧化物、挥发性有机物、化学需氧量、氨氮等国家实施排放总量控制的主要污染物以及二氧化硫、颗粒物等山西省实施排放总量控制的主要污染物”。</w:t>
            </w:r>
          </w:p>
          <w:p w14:paraId="615170F1">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eastAsia" w:ascii="Times New Roman" w:hAnsi="Times New Roman" w:eastAsia="宋体" w:cs="Times New Roman"/>
                <w:bCs/>
                <w:color w:val="auto"/>
                <w:sz w:val="24"/>
                <w:szCs w:val="24"/>
                <w:highlight w:val="none"/>
                <w:lang w:val="en-US" w:eastAsia="zh-CN"/>
              </w:rPr>
            </w:pPr>
            <w:r>
              <w:rPr>
                <w:rFonts w:hint="eastAsia" w:cs="Times New Roman"/>
                <w:color w:val="auto"/>
                <w:spacing w:val="0"/>
                <w:position w:val="0"/>
                <w:sz w:val="24"/>
                <w:highlight w:val="none"/>
                <w:lang w:val="en-US" w:eastAsia="zh-CN"/>
              </w:rPr>
              <w:t>本项目需要申请的总量指标为：颗粒物0.099t/a，二氧化硫0.02t/a，氮氧化物0.99t/a</w:t>
            </w:r>
            <w:r>
              <w:rPr>
                <w:rFonts w:hint="eastAsia" w:ascii="Times New Roman" w:hAnsi="Times New Roman" w:eastAsia="宋体" w:cs="Times New Roman"/>
                <w:bCs/>
                <w:color w:val="auto"/>
                <w:sz w:val="24"/>
                <w:szCs w:val="24"/>
                <w:highlight w:val="none"/>
                <w:lang w:val="en-US" w:eastAsia="zh-CN"/>
              </w:rPr>
              <w:t>。</w:t>
            </w:r>
          </w:p>
          <w:p w14:paraId="206639F0">
            <w:pPr>
              <w:keepNext w:val="0"/>
              <w:keepLines w:val="0"/>
              <w:pageBreakBefore w:val="0"/>
              <w:widowControl w:val="0"/>
              <w:kinsoku/>
              <w:wordWrap/>
              <w:overflowPunct/>
              <w:topLinePunct w:val="0"/>
              <w:autoSpaceDE w:val="0"/>
              <w:autoSpaceDN w:val="0"/>
              <w:bidi w:val="0"/>
              <w:adjustRightInd w:val="0"/>
              <w:snapToGrid/>
              <w:spacing w:line="480" w:lineRule="exact"/>
              <w:ind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cs="Times New Roman"/>
                <w:bCs/>
                <w:color w:val="auto"/>
                <w:sz w:val="24"/>
                <w:szCs w:val="24"/>
                <w:highlight w:val="none"/>
                <w:lang w:val="en-US" w:eastAsia="zh-CN"/>
              </w:rPr>
              <w:t>2026年9月8日，长治市生态环境局长子分局出具了“关于山西晋煤集团赵庄煤业有限责任公司新建燃气锅炉项目污染物排放总量控制指标的核定意见”（长子环函〔2026〕16号），核定污染物排放总量控制指标：颗粒物：0.1吨/年、二氧化硫：0.02吨/年、氮氧化物：0.99吨/年。</w:t>
            </w:r>
          </w:p>
          <w:p w14:paraId="442A8360">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3B5CB7D8">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6C10EB83">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61F5292F">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5CCE77CB">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p w14:paraId="64106F61">
            <w:pPr>
              <w:keepNext w:val="0"/>
              <w:keepLines w:val="0"/>
              <w:pageBreakBefore w:val="0"/>
              <w:widowControl w:val="0"/>
              <w:kinsoku/>
              <w:wordWrap/>
              <w:overflowPunct/>
              <w:topLinePunct w:val="0"/>
              <w:autoSpaceDE w:val="0"/>
              <w:autoSpaceDN w:val="0"/>
              <w:bidi w:val="0"/>
              <w:adjustRightInd w:val="0"/>
              <w:snapToGrid/>
              <w:spacing w:line="480" w:lineRule="exact"/>
              <w:jc w:val="both"/>
              <w:textAlignment w:val="auto"/>
              <w:rPr>
                <w:rFonts w:hint="default" w:ascii="Times New Roman" w:hAnsi="Times New Roman" w:eastAsia="宋体" w:cs="Times New Roman"/>
                <w:color w:val="auto"/>
                <w:spacing w:val="0"/>
                <w:position w:val="0"/>
                <w:sz w:val="24"/>
                <w:highlight w:val="none"/>
                <w:lang w:val="en-US" w:eastAsia="zh-CN"/>
              </w:rPr>
            </w:pPr>
          </w:p>
        </w:tc>
      </w:tr>
    </w:tbl>
    <w:p w14:paraId="07E9BB2D">
      <w:pPr>
        <w:pStyle w:val="19"/>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eastAsia="黑体" w:cs="Times New Roman"/>
          <w:snapToGrid w:val="0"/>
          <w:color w:val="auto"/>
          <w:sz w:val="36"/>
          <w:szCs w:val="36"/>
          <w:highlight w:val="none"/>
        </w:rPr>
        <w:br w:type="page"/>
      </w:r>
      <w:bookmarkStart w:id="7" w:name="_Toc7234"/>
      <w:r>
        <w:rPr>
          <w:rFonts w:hint="default" w:ascii="Times New Roman" w:hAnsi="Times New Roman" w:eastAsia="黑体" w:cs="Times New Roman"/>
          <w:snapToGrid w:val="0"/>
          <w:color w:val="auto"/>
          <w:sz w:val="30"/>
          <w:szCs w:val="30"/>
          <w:highlight w:val="none"/>
        </w:rPr>
        <w:t>四、主要环境影响和保护措施</w:t>
      </w:r>
      <w:bookmarkEnd w:id="7"/>
    </w:p>
    <w:tbl>
      <w:tblPr>
        <w:tblStyle w:val="24"/>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342BCB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6" w:type="dxa"/>
            <w:tcMar>
              <w:left w:w="28" w:type="dxa"/>
              <w:right w:w="28" w:type="dxa"/>
            </w:tcMar>
            <w:vAlign w:val="center"/>
          </w:tcPr>
          <w:p w14:paraId="2F4D9458">
            <w:pPr>
              <w:pStyle w:val="19"/>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施工</w:t>
            </w:r>
          </w:p>
          <w:p w14:paraId="330A982A">
            <w:pPr>
              <w:pStyle w:val="19"/>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期环</w:t>
            </w:r>
          </w:p>
          <w:p w14:paraId="7395A439">
            <w:pPr>
              <w:pStyle w:val="19"/>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境保</w:t>
            </w:r>
          </w:p>
          <w:p w14:paraId="60258559">
            <w:pPr>
              <w:pStyle w:val="19"/>
              <w:adjustRightInd w:val="0"/>
              <w:snapToGrid w:val="0"/>
              <w:spacing w:before="0" w:beforeAutospacing="0" w:after="0" w:afterAutospacing="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护措</w:t>
            </w:r>
          </w:p>
          <w:p w14:paraId="39BF21F2">
            <w:pPr>
              <w:pStyle w:val="19"/>
              <w:adjustRightInd w:val="0"/>
              <w:snapToGrid w:val="0"/>
              <w:spacing w:before="0" w:beforeAutospacing="0" w:after="0" w:afterAutospacing="0"/>
              <w:jc w:val="center"/>
              <w:rPr>
                <w:rFonts w:hint="default" w:ascii="Times New Roman" w:hAnsi="Times New Roman" w:cs="Times New Roman"/>
                <w:bCs/>
                <w:color w:val="auto"/>
                <w:kern w:val="2"/>
                <w:sz w:val="21"/>
                <w:szCs w:val="21"/>
                <w:highlight w:val="none"/>
              </w:rPr>
            </w:pPr>
            <w:r>
              <w:rPr>
                <w:rFonts w:hint="default" w:ascii="Times New Roman" w:hAnsi="Times New Roman" w:cs="Times New Roman"/>
                <w:color w:val="auto"/>
                <w:kern w:val="2"/>
                <w:sz w:val="21"/>
                <w:szCs w:val="21"/>
                <w:highlight w:val="none"/>
              </w:rPr>
              <w:t>施</w:t>
            </w:r>
          </w:p>
        </w:tc>
        <w:tc>
          <w:tcPr>
            <w:tcW w:w="8162" w:type="dxa"/>
            <w:vAlign w:val="center"/>
          </w:tcPr>
          <w:p w14:paraId="174A120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rPr>
            </w:pPr>
            <w:r>
              <w:rPr>
                <w:rFonts w:hint="eastAsia" w:ascii="Times New Roman" w:hAnsi="Times New Roman" w:eastAsia="宋体" w:cs="Times New Roman"/>
                <w:b/>
                <w:color w:val="auto"/>
                <w:spacing w:val="0"/>
                <w:sz w:val="24"/>
                <w:szCs w:val="24"/>
                <w:highlight w:val="none"/>
                <w:lang w:val="en-US" w:eastAsia="zh-CN"/>
              </w:rPr>
              <w:t xml:space="preserve">4.1 </w:t>
            </w:r>
            <w:r>
              <w:rPr>
                <w:rFonts w:hint="default" w:ascii="Times New Roman" w:hAnsi="Times New Roman" w:eastAsia="宋体" w:cs="Times New Roman"/>
                <w:b/>
                <w:color w:val="auto"/>
                <w:spacing w:val="0"/>
                <w:sz w:val="24"/>
                <w:szCs w:val="24"/>
                <w:highlight w:val="none"/>
              </w:rPr>
              <w:t>施工期大气环境污染防治措施</w:t>
            </w:r>
          </w:p>
          <w:p w14:paraId="3419011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 w:val="0"/>
                <w:bCs/>
                <w:color w:val="auto"/>
                <w:spacing w:val="0"/>
                <w:sz w:val="24"/>
                <w:szCs w:val="24"/>
                <w:highlight w:val="none"/>
                <w:lang w:val="en-US" w:eastAsia="zh-CN"/>
              </w:rPr>
            </w:pPr>
            <w:r>
              <w:rPr>
                <w:rFonts w:hint="eastAsia" w:ascii="Times New Roman" w:hAnsi="Times New Roman" w:eastAsia="宋体" w:cs="Times New Roman"/>
                <w:b w:val="0"/>
                <w:bCs/>
                <w:color w:val="auto"/>
                <w:spacing w:val="0"/>
                <w:sz w:val="24"/>
                <w:szCs w:val="24"/>
                <w:highlight w:val="none"/>
                <w:lang w:val="en-US" w:eastAsia="zh-CN"/>
              </w:rPr>
              <w:t>项目在施工期主要为设备安装，不产生大气环境污染物。本项目施工期不会对大气环境造成污染。</w:t>
            </w:r>
          </w:p>
          <w:p w14:paraId="7BCE7AD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rPr>
            </w:pPr>
            <w:r>
              <w:rPr>
                <w:rFonts w:hint="eastAsia" w:ascii="Times New Roman" w:hAnsi="Times New Roman" w:eastAsia="宋体" w:cs="Times New Roman"/>
                <w:b/>
                <w:color w:val="auto"/>
                <w:spacing w:val="0"/>
                <w:sz w:val="24"/>
                <w:szCs w:val="24"/>
                <w:highlight w:val="none"/>
                <w:lang w:val="en-US" w:eastAsia="zh-CN"/>
              </w:rPr>
              <w:t xml:space="preserve">4.2 </w:t>
            </w:r>
            <w:r>
              <w:rPr>
                <w:rFonts w:hint="default" w:ascii="Times New Roman" w:hAnsi="Times New Roman" w:eastAsia="宋体" w:cs="Times New Roman"/>
                <w:b/>
                <w:color w:val="auto"/>
                <w:spacing w:val="0"/>
                <w:sz w:val="24"/>
                <w:szCs w:val="24"/>
                <w:highlight w:val="none"/>
              </w:rPr>
              <w:t>施工期水环境污染防治措施</w:t>
            </w:r>
          </w:p>
          <w:p w14:paraId="48AF2F0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ascii="Times New Roman" w:hAnsi="Times New Roman" w:eastAsia="宋体" w:cs="Times New Roman"/>
                <w:color w:val="auto"/>
                <w:kern w:val="0"/>
                <w:sz w:val="24"/>
                <w:highlight w:val="none"/>
                <w:lang w:eastAsia="zh-CN"/>
              </w:rPr>
            </w:pPr>
            <w:r>
              <w:rPr>
                <w:rFonts w:hint="default" w:ascii="Times New Roman" w:hAnsi="Times New Roman" w:eastAsia="宋体" w:cs="Times New Roman"/>
                <w:color w:val="auto"/>
                <w:sz w:val="24"/>
                <w:highlight w:val="none"/>
              </w:rPr>
              <w:t>本项目施工期废水主要为施工人员的生活污水</w:t>
            </w:r>
            <w:r>
              <w:rPr>
                <w:rFonts w:hint="eastAsia" w:cs="Times New Roman"/>
                <w:color w:val="auto"/>
                <w:sz w:val="24"/>
                <w:highlight w:val="none"/>
                <w:lang w:eastAsia="zh-CN"/>
              </w:rPr>
              <w:t>，</w:t>
            </w:r>
            <w:r>
              <w:rPr>
                <w:rFonts w:hint="default" w:ascii="Times New Roman" w:hAnsi="Times New Roman" w:eastAsia="宋体" w:cs="Times New Roman"/>
                <w:color w:val="auto"/>
                <w:kern w:val="0"/>
                <w:sz w:val="24"/>
                <w:highlight w:val="none"/>
              </w:rPr>
              <w:t>利用</w:t>
            </w:r>
            <w:r>
              <w:rPr>
                <w:rFonts w:hint="eastAsia" w:cs="Times New Roman"/>
                <w:color w:val="auto"/>
                <w:kern w:val="0"/>
                <w:sz w:val="24"/>
                <w:highlight w:val="none"/>
                <w:lang w:val="en-US" w:eastAsia="zh-CN"/>
              </w:rPr>
              <w:t>矿区</w:t>
            </w:r>
            <w:r>
              <w:rPr>
                <w:rFonts w:hint="eastAsia" w:ascii="Times New Roman" w:hAnsi="Times New Roman" w:eastAsia="宋体" w:cs="Times New Roman"/>
                <w:color w:val="auto"/>
                <w:kern w:val="0"/>
                <w:sz w:val="24"/>
                <w:highlight w:val="none"/>
                <w:lang w:val="en-US" w:eastAsia="zh-CN"/>
              </w:rPr>
              <w:t>现有</w:t>
            </w:r>
            <w:r>
              <w:rPr>
                <w:rFonts w:hint="default" w:ascii="Times New Roman" w:hAnsi="Times New Roman" w:eastAsia="宋体" w:cs="Times New Roman"/>
                <w:color w:val="auto"/>
                <w:kern w:val="0"/>
                <w:sz w:val="24"/>
                <w:highlight w:val="none"/>
              </w:rPr>
              <w:t>办公卫生设施</w:t>
            </w:r>
            <w:r>
              <w:rPr>
                <w:rFonts w:hint="eastAsia"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施工人员生活污水</w:t>
            </w:r>
            <w:r>
              <w:rPr>
                <w:rFonts w:hint="eastAsia" w:ascii="Times New Roman" w:hAnsi="Times New Roman" w:cs="Times New Roman"/>
                <w:b w:val="0"/>
                <w:bCs w:val="0"/>
                <w:color w:val="auto"/>
                <w:sz w:val="24"/>
                <w:highlight w:val="none"/>
                <w:lang w:eastAsia="zh-CN"/>
              </w:rPr>
              <w:t>进入</w:t>
            </w:r>
            <w:r>
              <w:rPr>
                <w:rFonts w:hint="eastAsia" w:ascii="Times New Roman" w:hAnsi="Times New Roman" w:cs="Times New Roman"/>
                <w:b w:val="0"/>
                <w:bCs w:val="0"/>
                <w:color w:val="auto"/>
                <w:sz w:val="24"/>
                <w:highlight w:val="none"/>
                <w:lang w:val="en-US" w:eastAsia="zh-CN"/>
              </w:rPr>
              <w:t>工业场内生活污水处理站进行处理</w:t>
            </w:r>
            <w:r>
              <w:rPr>
                <w:rFonts w:hint="eastAsia" w:ascii="Times New Roman" w:hAnsi="Times New Roman" w:cs="Times New Roman"/>
                <w:b w:val="0"/>
                <w:bCs w:val="0"/>
                <w:color w:val="auto"/>
                <w:sz w:val="24"/>
                <w:szCs w:val="22"/>
                <w:highlight w:val="none"/>
                <w:lang w:eastAsia="zh-CN"/>
              </w:rPr>
              <w:t>。</w:t>
            </w:r>
          </w:p>
          <w:p w14:paraId="20F4B40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4"/>
                <w:sz w:val="24"/>
                <w:highlight w:val="none"/>
              </w:rPr>
            </w:pPr>
            <w:r>
              <w:rPr>
                <w:rFonts w:hint="default" w:ascii="Times New Roman" w:hAnsi="Times New Roman" w:eastAsia="宋体" w:cs="Times New Roman"/>
                <w:color w:val="auto"/>
                <w:kern w:val="0"/>
                <w:sz w:val="24"/>
                <w:highlight w:val="none"/>
              </w:rPr>
              <w:t>综上所述，本项目施工期对水环境的影响很小</w:t>
            </w:r>
            <w:r>
              <w:rPr>
                <w:rFonts w:hint="default" w:ascii="Times New Roman" w:hAnsi="Times New Roman" w:eastAsia="宋体" w:cs="Times New Roman"/>
                <w:color w:val="auto"/>
                <w:spacing w:val="-4"/>
                <w:sz w:val="24"/>
                <w:highlight w:val="none"/>
              </w:rPr>
              <w:t>。</w:t>
            </w:r>
          </w:p>
          <w:p w14:paraId="78403AA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lang w:val="en-US" w:eastAsia="zh-CN"/>
              </w:rPr>
            </w:pPr>
            <w:r>
              <w:rPr>
                <w:rFonts w:hint="eastAsia" w:ascii="Times New Roman" w:hAnsi="Times New Roman" w:eastAsia="宋体" w:cs="Times New Roman"/>
                <w:b/>
                <w:color w:val="auto"/>
                <w:spacing w:val="0"/>
                <w:sz w:val="24"/>
                <w:szCs w:val="24"/>
                <w:highlight w:val="none"/>
                <w:lang w:val="en-US" w:eastAsia="zh-CN"/>
              </w:rPr>
              <w:t xml:space="preserve">4.3 </w:t>
            </w:r>
            <w:r>
              <w:rPr>
                <w:rFonts w:hint="default" w:ascii="Times New Roman" w:hAnsi="Times New Roman" w:eastAsia="宋体" w:cs="Times New Roman"/>
                <w:b/>
                <w:color w:val="auto"/>
                <w:spacing w:val="0"/>
                <w:sz w:val="24"/>
                <w:szCs w:val="24"/>
                <w:highlight w:val="none"/>
                <w:lang w:val="en-US" w:eastAsia="zh-CN"/>
              </w:rPr>
              <w:t>施工期固体废物环境污染防治措施</w:t>
            </w:r>
          </w:p>
          <w:p w14:paraId="4A2EE8A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本项目施工期主要为施工人员生活垃圾及</w:t>
            </w:r>
            <w:r>
              <w:rPr>
                <w:rFonts w:hint="eastAsia" w:cs="Times New Roman"/>
                <w:color w:val="auto"/>
                <w:sz w:val="24"/>
                <w:highlight w:val="none"/>
                <w:lang w:val="en-US" w:eastAsia="zh-CN"/>
              </w:rPr>
              <w:t>设备</w:t>
            </w:r>
            <w:r>
              <w:rPr>
                <w:rFonts w:hint="default" w:ascii="Times New Roman" w:hAnsi="Times New Roman" w:eastAsia="宋体" w:cs="Times New Roman"/>
                <w:color w:val="auto"/>
                <w:sz w:val="24"/>
                <w:highlight w:val="none"/>
              </w:rPr>
              <w:t>废包装物</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收集后交由</w:t>
            </w:r>
            <w:r>
              <w:rPr>
                <w:rFonts w:hint="eastAsia" w:cs="Times New Roman"/>
                <w:color w:val="auto"/>
                <w:sz w:val="24"/>
                <w:highlight w:val="none"/>
                <w:lang w:val="en-US" w:eastAsia="zh-CN"/>
              </w:rPr>
              <w:t>环卫部门</w:t>
            </w:r>
            <w:r>
              <w:rPr>
                <w:rFonts w:hint="default" w:ascii="Times New Roman" w:hAnsi="Times New Roman" w:eastAsia="宋体" w:cs="Times New Roman"/>
                <w:color w:val="auto"/>
                <w:sz w:val="24"/>
                <w:highlight w:val="none"/>
              </w:rPr>
              <w:t>清运处理。</w:t>
            </w:r>
          </w:p>
          <w:p w14:paraId="4E39D5C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采取上述措施后</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本项目施工期产生的固体废物不会对周围环境产生明显影响。</w:t>
            </w:r>
          </w:p>
          <w:p w14:paraId="0B41C54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lang w:val="en-US" w:eastAsia="zh-CN"/>
              </w:rPr>
            </w:pPr>
            <w:r>
              <w:rPr>
                <w:rFonts w:hint="eastAsia" w:ascii="Times New Roman" w:hAnsi="Times New Roman" w:eastAsia="宋体" w:cs="Times New Roman"/>
                <w:b/>
                <w:color w:val="auto"/>
                <w:spacing w:val="0"/>
                <w:sz w:val="24"/>
                <w:szCs w:val="24"/>
                <w:highlight w:val="none"/>
                <w:lang w:val="en-US" w:eastAsia="zh-CN"/>
              </w:rPr>
              <w:t xml:space="preserve">4.4 </w:t>
            </w:r>
            <w:r>
              <w:rPr>
                <w:rFonts w:hint="default" w:ascii="Times New Roman" w:hAnsi="Times New Roman" w:eastAsia="宋体" w:cs="Times New Roman"/>
                <w:b/>
                <w:color w:val="auto"/>
                <w:spacing w:val="0"/>
                <w:sz w:val="24"/>
                <w:szCs w:val="24"/>
                <w:highlight w:val="none"/>
                <w:lang w:val="en-US" w:eastAsia="zh-CN"/>
              </w:rPr>
              <w:t>施工期声环境污染防治措施</w:t>
            </w:r>
          </w:p>
          <w:p w14:paraId="75D26A0B">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lang w:val="en-US" w:eastAsia="zh-CN"/>
              </w:rPr>
              <w:t>本项目施工期噪声主要为设备安装噪声，噪声相对较小，且在室内操作。另外，严禁建设单位在22:00-6:00施工，施工期在选用低噪声设备，加强设备的维护与管理，加强对施工人员的监督和管理等措施后，可将噪声影响控制在最低程度，且施工噪声随着施工的结束而结束，不会对周围环境产生明显的影响。</w:t>
            </w:r>
          </w:p>
          <w:p w14:paraId="32A83FA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0E1AAC9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75BBA332">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33778E74">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485ACF58">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021EFA4F">
            <w:pPr>
              <w:keepNext w:val="0"/>
              <w:keepLines w:val="0"/>
              <w:pageBreakBefore w:val="0"/>
              <w:widowControl/>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z w:val="24"/>
                <w:szCs w:val="20"/>
                <w:highlight w:val="none"/>
              </w:rPr>
            </w:pPr>
          </w:p>
          <w:p w14:paraId="332664C0">
            <w:pPr>
              <w:keepNext w:val="0"/>
              <w:keepLines w:val="0"/>
              <w:pageBreakBefore w:val="0"/>
              <w:widowControl/>
              <w:kinsoku/>
              <w:wordWrap/>
              <w:overflowPunct/>
              <w:topLinePunct w:val="0"/>
              <w:autoSpaceDE/>
              <w:autoSpaceDN/>
              <w:bidi w:val="0"/>
              <w:adjustRightInd w:val="0"/>
              <w:snapToGrid w:val="0"/>
              <w:spacing w:line="480" w:lineRule="exact"/>
              <w:ind w:firstLine="440" w:firstLineChars="200"/>
              <w:jc w:val="both"/>
              <w:textAlignment w:val="auto"/>
              <w:rPr>
                <w:rFonts w:hint="eastAsia" w:ascii="Times New Roman" w:hAnsi="Times New Roman" w:eastAsia="宋体" w:cs="Times New Roman"/>
                <w:bCs/>
                <w:color w:val="auto"/>
                <w:spacing w:val="-10"/>
                <w:sz w:val="24"/>
                <w:szCs w:val="24"/>
                <w:highlight w:val="none"/>
                <w:lang w:eastAsia="zh-CN"/>
              </w:rPr>
            </w:pPr>
          </w:p>
        </w:tc>
      </w:tr>
    </w:tbl>
    <w:p w14:paraId="3A67D310">
      <w:pPr>
        <w:rPr>
          <w:color w:val="auto"/>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5"/>
        <w:tblW w:w="14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077"/>
      </w:tblGrid>
      <w:tr w14:paraId="3194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1" w:hRule="atLeast"/>
          <w:jc w:val="center"/>
        </w:trPr>
        <w:tc>
          <w:tcPr>
            <w:tcW w:w="663" w:type="dxa"/>
            <w:vAlign w:val="center"/>
          </w:tcPr>
          <w:p w14:paraId="4D46542A">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运营</w:t>
            </w:r>
          </w:p>
          <w:p w14:paraId="4EEE0E03">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期环</w:t>
            </w:r>
          </w:p>
          <w:p w14:paraId="77EAB446">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境影</w:t>
            </w:r>
          </w:p>
          <w:p w14:paraId="7104C5EF">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响和</w:t>
            </w:r>
          </w:p>
          <w:p w14:paraId="5D475C7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保护</w:t>
            </w:r>
          </w:p>
          <w:p w14:paraId="71B4AD31">
            <w:pPr>
              <w:adjustRightInd w:val="0"/>
              <w:snapToGrid w:val="0"/>
              <w:jc w:val="center"/>
              <w:rPr>
                <w:rFonts w:hint="eastAsia" w:ascii="Times New Roman" w:hAnsi="Times New Roman" w:eastAsia="宋体" w:cs="Times New Roman"/>
                <w:b/>
                <w:bCs w:val="0"/>
                <w:color w:val="auto"/>
                <w:spacing w:val="-10"/>
                <w:sz w:val="24"/>
                <w:szCs w:val="24"/>
                <w:highlight w:val="none"/>
                <w:vertAlign w:val="baseline"/>
                <w:lang w:val="en-US" w:eastAsia="zh-CN"/>
              </w:rPr>
            </w:pPr>
            <w:r>
              <w:rPr>
                <w:rFonts w:hint="default" w:ascii="Times New Roman" w:hAnsi="Times New Roman" w:eastAsia="宋体" w:cs="Times New Roman"/>
                <w:bCs/>
                <w:color w:val="auto"/>
                <w:szCs w:val="21"/>
                <w:highlight w:val="none"/>
                <w:lang w:val="en-US" w:eastAsia="zh-CN"/>
              </w:rPr>
              <w:t>措施</w:t>
            </w:r>
          </w:p>
        </w:tc>
        <w:tc>
          <w:tcPr>
            <w:tcW w:w="14077" w:type="dxa"/>
          </w:tcPr>
          <w:p w14:paraId="2C4A5C64">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textAlignment w:val="auto"/>
              <w:rPr>
                <w:rFonts w:hint="default" w:ascii="Times New Roman" w:hAnsi="Times New Roman" w:eastAsia="宋体" w:cs="Times New Roman"/>
                <w:b/>
                <w:color w:val="auto"/>
                <w:spacing w:val="0"/>
                <w:sz w:val="24"/>
                <w:szCs w:val="24"/>
                <w:highlight w:val="none"/>
                <w:lang w:val="en-US" w:eastAsia="zh-CN"/>
              </w:rPr>
            </w:pPr>
            <w:r>
              <w:rPr>
                <w:rFonts w:hint="eastAsia" w:ascii="Times New Roman" w:hAnsi="Times New Roman" w:eastAsia="宋体" w:cs="Times New Roman"/>
                <w:b/>
                <w:color w:val="auto"/>
                <w:spacing w:val="0"/>
                <w:sz w:val="24"/>
                <w:szCs w:val="24"/>
                <w:highlight w:val="none"/>
                <w:lang w:val="en-US" w:eastAsia="zh-CN"/>
              </w:rPr>
              <w:t>4.5 废气</w:t>
            </w:r>
          </w:p>
          <w:p w14:paraId="04DF740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本项目大气污染源产生排放情况见表4</w:t>
            </w:r>
            <w:r>
              <w:rPr>
                <w:rFonts w:hint="eastAsia" w:cs="Times New Roman"/>
                <w:bCs/>
                <w:color w:val="auto"/>
                <w:sz w:val="24"/>
                <w:szCs w:val="24"/>
                <w:highlight w:val="none"/>
                <w:lang w:val="en-US" w:eastAsia="zh-CN"/>
              </w:rPr>
              <w:t>.5</w:t>
            </w:r>
            <w:r>
              <w:rPr>
                <w:rFonts w:hint="eastAsia" w:ascii="Times New Roman" w:hAnsi="Times New Roman" w:eastAsia="宋体" w:cs="Times New Roman"/>
                <w:bCs/>
                <w:color w:val="auto"/>
                <w:sz w:val="24"/>
                <w:szCs w:val="24"/>
                <w:highlight w:val="none"/>
                <w:lang w:val="en-US" w:eastAsia="zh-CN"/>
              </w:rPr>
              <w:t>-1。</w:t>
            </w:r>
          </w:p>
          <w:p w14:paraId="69A0A695">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rightChars="0"/>
              <w:jc w:val="center"/>
              <w:textAlignment w:val="auto"/>
              <w:outlineLvl w:val="9"/>
              <w:rPr>
                <w:rFonts w:hint="default" w:ascii="Times New Roman" w:hAnsi="Times New Roman" w:eastAsia="黑体" w:cs="Times New Roman"/>
                <w:b w:val="0"/>
                <w:bCs/>
                <w:color w:val="auto"/>
                <w:sz w:val="21"/>
                <w:szCs w:val="16"/>
                <w:highlight w:val="none"/>
                <w:lang w:val="en-US" w:eastAsia="zh-CN"/>
              </w:rPr>
            </w:pPr>
            <w:r>
              <w:rPr>
                <w:rFonts w:hint="default" w:ascii="Times New Roman" w:hAnsi="Times New Roman" w:eastAsia="黑体" w:cs="Times New Roman"/>
                <w:b w:val="0"/>
                <w:bCs/>
                <w:color w:val="auto"/>
                <w:sz w:val="21"/>
                <w:szCs w:val="16"/>
                <w:highlight w:val="none"/>
                <w:lang w:val="en-US" w:eastAsia="zh-CN"/>
              </w:rPr>
              <w:t>表</w:t>
            </w:r>
            <w:r>
              <w:rPr>
                <w:rFonts w:hint="eastAsia" w:ascii="Times New Roman" w:hAnsi="Times New Roman" w:eastAsia="黑体" w:cs="Times New Roman"/>
                <w:b w:val="0"/>
                <w:bCs/>
                <w:color w:val="auto"/>
                <w:sz w:val="21"/>
                <w:szCs w:val="16"/>
                <w:highlight w:val="none"/>
                <w:lang w:val="en-US" w:eastAsia="zh-CN"/>
              </w:rPr>
              <w:t>4.5-1</w:t>
            </w:r>
            <w:r>
              <w:rPr>
                <w:rFonts w:hint="default" w:ascii="Times New Roman" w:hAnsi="Times New Roman" w:eastAsia="黑体" w:cs="Times New Roman"/>
                <w:b w:val="0"/>
                <w:bCs/>
                <w:color w:val="auto"/>
                <w:sz w:val="21"/>
                <w:szCs w:val="16"/>
                <w:highlight w:val="none"/>
                <w:lang w:val="en-US" w:eastAsia="zh-CN"/>
              </w:rPr>
              <w:t xml:space="preserve">  </w:t>
            </w:r>
            <w:r>
              <w:rPr>
                <w:rFonts w:hint="eastAsia" w:ascii="Times New Roman" w:hAnsi="Times New Roman" w:eastAsia="黑体" w:cs="Times New Roman"/>
                <w:b w:val="0"/>
                <w:bCs/>
                <w:color w:val="auto"/>
                <w:sz w:val="21"/>
                <w:szCs w:val="16"/>
                <w:highlight w:val="none"/>
                <w:lang w:val="en-US" w:eastAsia="zh-CN"/>
              </w:rPr>
              <w:t>大气</w:t>
            </w:r>
            <w:r>
              <w:rPr>
                <w:rFonts w:hint="default" w:ascii="Times New Roman" w:hAnsi="Times New Roman" w:eastAsia="黑体" w:cs="Times New Roman"/>
                <w:b w:val="0"/>
                <w:bCs/>
                <w:color w:val="auto"/>
                <w:sz w:val="21"/>
                <w:szCs w:val="16"/>
                <w:highlight w:val="none"/>
                <w:lang w:val="en-US" w:eastAsia="zh-CN"/>
              </w:rPr>
              <w:t>污染源产生排放情况表</w:t>
            </w:r>
          </w:p>
          <w:tbl>
            <w:tblPr>
              <w:tblStyle w:val="24"/>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26"/>
              <w:gridCol w:w="1098"/>
              <w:gridCol w:w="780"/>
              <w:gridCol w:w="916"/>
              <w:gridCol w:w="855"/>
              <w:gridCol w:w="730"/>
              <w:gridCol w:w="1303"/>
              <w:gridCol w:w="628"/>
              <w:gridCol w:w="589"/>
              <w:gridCol w:w="891"/>
              <w:gridCol w:w="965"/>
              <w:gridCol w:w="885"/>
              <w:gridCol w:w="786"/>
              <w:gridCol w:w="852"/>
              <w:gridCol w:w="758"/>
              <w:gridCol w:w="733"/>
              <w:gridCol w:w="628"/>
            </w:tblGrid>
            <w:tr w14:paraId="1EE3DB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4" w:type="pct"/>
                  <w:vMerge w:val="restart"/>
                  <w:tcBorders>
                    <w:tl2br w:val="nil"/>
                    <w:tr2bl w:val="nil"/>
                  </w:tcBorders>
                  <w:vAlign w:val="center"/>
                </w:tcPr>
                <w:p w14:paraId="536446B0">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序号</w:t>
                  </w:r>
                </w:p>
              </w:tc>
              <w:tc>
                <w:tcPr>
                  <w:tcW w:w="397" w:type="pct"/>
                  <w:vMerge w:val="restart"/>
                  <w:tcBorders>
                    <w:tl2br w:val="nil"/>
                    <w:tr2bl w:val="nil"/>
                  </w:tcBorders>
                  <w:vAlign w:val="center"/>
                </w:tcPr>
                <w:p w14:paraId="7E4CDC83">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产排污环节</w:t>
                  </w:r>
                </w:p>
              </w:tc>
              <w:tc>
                <w:tcPr>
                  <w:tcW w:w="282" w:type="pct"/>
                  <w:vMerge w:val="restart"/>
                  <w:tcBorders>
                    <w:tl2br w:val="nil"/>
                    <w:tr2bl w:val="nil"/>
                  </w:tcBorders>
                  <w:vAlign w:val="center"/>
                </w:tcPr>
                <w:p w14:paraId="4CB5BD9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w:t>
                  </w:r>
                </w:p>
                <w:p w14:paraId="78DE6153">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种类</w:t>
                  </w:r>
                </w:p>
              </w:tc>
              <w:tc>
                <w:tcPr>
                  <w:tcW w:w="331" w:type="pct"/>
                  <w:vMerge w:val="restart"/>
                  <w:tcBorders>
                    <w:tl2br w:val="nil"/>
                    <w:tr2bl w:val="nil"/>
                  </w:tcBorders>
                  <w:vAlign w:val="center"/>
                </w:tcPr>
                <w:p w14:paraId="6306EC2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污染物产生浓度mg/m</w:t>
                  </w:r>
                  <w:r>
                    <w:rPr>
                      <w:rFonts w:ascii="Times New Roman" w:hAnsi="Times New Roman" w:eastAsia="宋体" w:cs="Times New Roman"/>
                      <w:color w:val="auto"/>
                      <w:kern w:val="2"/>
                      <w:sz w:val="21"/>
                      <w:szCs w:val="21"/>
                      <w:highlight w:val="none"/>
                      <w:vertAlign w:val="superscript"/>
                      <w:lang w:val="en-US" w:eastAsia="zh-CN" w:bidi="ar-SA"/>
                    </w:rPr>
                    <w:t>3</w:t>
                  </w:r>
                </w:p>
              </w:tc>
              <w:tc>
                <w:tcPr>
                  <w:tcW w:w="309" w:type="pct"/>
                  <w:vMerge w:val="restart"/>
                  <w:tcBorders>
                    <w:tl2br w:val="nil"/>
                    <w:tr2bl w:val="nil"/>
                  </w:tcBorders>
                  <w:vAlign w:val="center"/>
                </w:tcPr>
                <w:p w14:paraId="5090A3D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污染物产生</w:t>
                  </w:r>
                  <w:r>
                    <w:rPr>
                      <w:rFonts w:hint="eastAsia" w:ascii="Times New Roman" w:hAnsi="Times New Roman" w:eastAsia="宋体" w:cs="Times New Roman"/>
                      <w:color w:val="auto"/>
                      <w:kern w:val="2"/>
                      <w:sz w:val="21"/>
                      <w:szCs w:val="21"/>
                      <w:highlight w:val="none"/>
                      <w:lang w:val="en-US" w:eastAsia="zh-CN" w:bidi="ar-SA"/>
                    </w:rPr>
                    <w:t>速率kg/h</w:t>
                  </w:r>
                </w:p>
              </w:tc>
              <w:tc>
                <w:tcPr>
                  <w:tcW w:w="264" w:type="pct"/>
                  <w:vMerge w:val="restart"/>
                  <w:tcBorders>
                    <w:tl2br w:val="nil"/>
                    <w:tr2bl w:val="nil"/>
                  </w:tcBorders>
                  <w:vAlign w:val="center"/>
                </w:tcPr>
                <w:p w14:paraId="76B7263B">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排放</w:t>
                  </w:r>
                </w:p>
                <w:p w14:paraId="344B796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方式</w:t>
                  </w:r>
                </w:p>
              </w:tc>
              <w:tc>
                <w:tcPr>
                  <w:tcW w:w="1582" w:type="pct"/>
                  <w:gridSpan w:val="5"/>
                  <w:tcBorders>
                    <w:tl2br w:val="nil"/>
                    <w:tr2bl w:val="nil"/>
                  </w:tcBorders>
                  <w:vAlign w:val="center"/>
                </w:tcPr>
                <w:p w14:paraId="551C7833">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治理设施</w:t>
                  </w:r>
                </w:p>
              </w:tc>
              <w:tc>
                <w:tcPr>
                  <w:tcW w:w="320" w:type="pct"/>
                  <w:vMerge w:val="restart"/>
                  <w:tcBorders>
                    <w:tl2br w:val="nil"/>
                    <w:tr2bl w:val="nil"/>
                  </w:tcBorders>
                  <w:vAlign w:val="center"/>
                </w:tcPr>
                <w:p w14:paraId="1366E090">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污染物排放浓度mg/m</w:t>
                  </w:r>
                  <w:r>
                    <w:rPr>
                      <w:rFonts w:ascii="Times New Roman" w:hAnsi="Times New Roman" w:eastAsia="宋体" w:cs="Times New Roman"/>
                      <w:color w:val="auto"/>
                      <w:kern w:val="2"/>
                      <w:sz w:val="21"/>
                      <w:szCs w:val="21"/>
                      <w:highlight w:val="none"/>
                      <w:vertAlign w:val="superscript"/>
                      <w:lang w:val="en-US" w:eastAsia="zh-CN" w:bidi="ar-SA"/>
                    </w:rPr>
                    <w:t>3</w:t>
                  </w:r>
                </w:p>
              </w:tc>
              <w:tc>
                <w:tcPr>
                  <w:tcW w:w="284" w:type="pct"/>
                  <w:vMerge w:val="restart"/>
                  <w:tcBorders>
                    <w:tl2br w:val="nil"/>
                    <w:tr2bl w:val="nil"/>
                  </w:tcBorders>
                  <w:vAlign w:val="center"/>
                </w:tcPr>
                <w:p w14:paraId="4F35F1C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w:t>
                  </w:r>
                  <w:r>
                    <w:rPr>
                      <w:rFonts w:hint="eastAsia" w:ascii="Times New Roman" w:hAnsi="Times New Roman" w:eastAsia="宋体" w:cs="Times New Roman"/>
                      <w:color w:val="auto"/>
                      <w:kern w:val="2"/>
                      <w:sz w:val="21"/>
                      <w:szCs w:val="21"/>
                      <w:highlight w:val="none"/>
                      <w:lang w:val="en-US" w:eastAsia="zh-CN" w:bidi="ar-SA"/>
                    </w:rPr>
                    <w:t>排放速率kg/h</w:t>
                  </w:r>
                </w:p>
              </w:tc>
              <w:tc>
                <w:tcPr>
                  <w:tcW w:w="308" w:type="pct"/>
                  <w:vMerge w:val="restart"/>
                  <w:tcBorders>
                    <w:tl2br w:val="nil"/>
                    <w:tr2bl w:val="nil"/>
                  </w:tcBorders>
                  <w:vAlign w:val="center"/>
                </w:tcPr>
                <w:p w14:paraId="7684FEB9">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年运行时间h</w:t>
                  </w:r>
                </w:p>
              </w:tc>
              <w:tc>
                <w:tcPr>
                  <w:tcW w:w="274" w:type="pct"/>
                  <w:vMerge w:val="restart"/>
                  <w:tcBorders>
                    <w:tl2br w:val="nil"/>
                    <w:tr2bl w:val="nil"/>
                  </w:tcBorders>
                  <w:vAlign w:val="center"/>
                </w:tcPr>
                <w:p w14:paraId="2153CBF5">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污染物排放量t/a</w:t>
                  </w:r>
                </w:p>
              </w:tc>
              <w:tc>
                <w:tcPr>
                  <w:tcW w:w="265" w:type="pct"/>
                  <w:vMerge w:val="restart"/>
                  <w:tcBorders>
                    <w:tl2br w:val="nil"/>
                    <w:tr2bl w:val="nil"/>
                  </w:tcBorders>
                  <w:vAlign w:val="center"/>
                </w:tcPr>
                <w:p w14:paraId="0E40523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排放口</w:t>
                  </w:r>
                  <w:r>
                    <w:rPr>
                      <w:rFonts w:hint="eastAsia" w:ascii="Times New Roman" w:hAnsi="Times New Roman" w:eastAsia="宋体" w:cs="Times New Roman"/>
                      <w:color w:val="auto"/>
                      <w:kern w:val="2"/>
                      <w:sz w:val="21"/>
                      <w:szCs w:val="21"/>
                      <w:highlight w:val="none"/>
                      <w:lang w:val="en-US" w:eastAsia="zh-CN" w:bidi="ar-SA"/>
                    </w:rPr>
                    <w:t>编号</w:t>
                  </w:r>
                </w:p>
              </w:tc>
              <w:tc>
                <w:tcPr>
                  <w:tcW w:w="227" w:type="pct"/>
                  <w:vMerge w:val="restart"/>
                  <w:tcBorders>
                    <w:tl2br w:val="nil"/>
                    <w:tr2bl w:val="nil"/>
                  </w:tcBorders>
                  <w:vAlign w:val="center"/>
                </w:tcPr>
                <w:p w14:paraId="1F1B73B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排放标准mg/m</w:t>
                  </w:r>
                  <w:r>
                    <w:rPr>
                      <w:rFonts w:ascii="Times New Roman" w:hAnsi="Times New Roman" w:eastAsia="宋体" w:cs="Times New Roman"/>
                      <w:color w:val="auto"/>
                      <w:kern w:val="2"/>
                      <w:sz w:val="21"/>
                      <w:szCs w:val="21"/>
                      <w:highlight w:val="none"/>
                      <w:vertAlign w:val="superscript"/>
                      <w:lang w:val="en-US" w:eastAsia="zh-CN" w:bidi="ar-SA"/>
                    </w:rPr>
                    <w:t>3</w:t>
                  </w:r>
                </w:p>
              </w:tc>
            </w:tr>
            <w:tr w14:paraId="625ECA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54" w:type="pct"/>
                  <w:vMerge w:val="continue"/>
                  <w:tcBorders>
                    <w:tl2br w:val="nil"/>
                    <w:tr2bl w:val="nil"/>
                  </w:tcBorders>
                  <w:vAlign w:val="center"/>
                </w:tcPr>
                <w:p w14:paraId="7671B155">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397" w:type="pct"/>
                  <w:vMerge w:val="continue"/>
                  <w:tcBorders>
                    <w:tl2br w:val="nil"/>
                    <w:tr2bl w:val="nil"/>
                  </w:tcBorders>
                  <w:vAlign w:val="center"/>
                </w:tcPr>
                <w:p w14:paraId="6476A81D">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282" w:type="pct"/>
                  <w:vMerge w:val="continue"/>
                  <w:tcBorders>
                    <w:tl2br w:val="nil"/>
                    <w:tr2bl w:val="nil"/>
                  </w:tcBorders>
                  <w:vAlign w:val="center"/>
                </w:tcPr>
                <w:p w14:paraId="3ACCE40D">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331" w:type="pct"/>
                  <w:vMerge w:val="continue"/>
                  <w:tcBorders>
                    <w:tl2br w:val="nil"/>
                    <w:tr2bl w:val="nil"/>
                  </w:tcBorders>
                  <w:vAlign w:val="center"/>
                </w:tcPr>
                <w:p w14:paraId="31669176">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309" w:type="pct"/>
                  <w:vMerge w:val="continue"/>
                  <w:tcBorders>
                    <w:tl2br w:val="nil"/>
                    <w:tr2bl w:val="nil"/>
                  </w:tcBorders>
                  <w:vAlign w:val="center"/>
                </w:tcPr>
                <w:p w14:paraId="32208CD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264" w:type="pct"/>
                  <w:vMerge w:val="continue"/>
                  <w:tcBorders>
                    <w:tl2br w:val="nil"/>
                    <w:tr2bl w:val="nil"/>
                  </w:tcBorders>
                  <w:vAlign w:val="center"/>
                </w:tcPr>
                <w:p w14:paraId="6661966D">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471" w:type="pct"/>
                  <w:tcBorders>
                    <w:tl2br w:val="nil"/>
                    <w:tr2bl w:val="nil"/>
                  </w:tcBorders>
                  <w:vAlign w:val="center"/>
                </w:tcPr>
                <w:p w14:paraId="58178B07">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污染防治设施</w:t>
                  </w:r>
                </w:p>
              </w:tc>
              <w:tc>
                <w:tcPr>
                  <w:tcW w:w="227" w:type="pct"/>
                  <w:tcBorders>
                    <w:tl2br w:val="nil"/>
                    <w:tr2bl w:val="nil"/>
                  </w:tcBorders>
                  <w:vAlign w:val="center"/>
                </w:tcPr>
                <w:p w14:paraId="7855839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风量</w:t>
                  </w:r>
                </w:p>
                <w:p w14:paraId="3564E36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m</w:t>
                  </w:r>
                  <w:r>
                    <w:rPr>
                      <w:rFonts w:hint="eastAsia" w:ascii="Times New Roman" w:hAnsi="Times New Roman" w:eastAsia="宋体" w:cs="Times New Roman"/>
                      <w:color w:val="auto"/>
                      <w:kern w:val="2"/>
                      <w:sz w:val="21"/>
                      <w:szCs w:val="21"/>
                      <w:highlight w:val="none"/>
                      <w:vertAlign w:val="superscript"/>
                      <w:lang w:val="en-US" w:eastAsia="zh-CN" w:bidi="ar-SA"/>
                    </w:rPr>
                    <w:t>3</w:t>
                  </w:r>
                  <w:r>
                    <w:rPr>
                      <w:rFonts w:hint="eastAsia" w:ascii="Times New Roman" w:hAnsi="Times New Roman" w:eastAsia="宋体" w:cs="Times New Roman"/>
                      <w:color w:val="auto"/>
                      <w:kern w:val="2"/>
                      <w:sz w:val="21"/>
                      <w:szCs w:val="21"/>
                      <w:highlight w:val="none"/>
                      <w:lang w:val="en-US" w:eastAsia="zh-CN" w:bidi="ar-SA"/>
                    </w:rPr>
                    <w:t>/h</w:t>
                  </w:r>
                </w:p>
              </w:tc>
              <w:tc>
                <w:tcPr>
                  <w:tcW w:w="213" w:type="pct"/>
                  <w:tcBorders>
                    <w:tl2br w:val="nil"/>
                    <w:tr2bl w:val="nil"/>
                  </w:tcBorders>
                  <w:vAlign w:val="center"/>
                </w:tcPr>
                <w:p w14:paraId="78AF32C5">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收集效率</w:t>
                  </w:r>
                  <w:r>
                    <w:rPr>
                      <w:rFonts w:hint="eastAsia" w:cs="Times New Roman"/>
                      <w:color w:val="auto"/>
                      <w:kern w:val="2"/>
                      <w:sz w:val="21"/>
                      <w:szCs w:val="21"/>
                      <w:highlight w:val="none"/>
                      <w:lang w:val="en-US" w:eastAsia="zh-CN" w:bidi="ar-SA"/>
                    </w:rPr>
                    <w:t>%</w:t>
                  </w:r>
                </w:p>
              </w:tc>
              <w:tc>
                <w:tcPr>
                  <w:tcW w:w="322" w:type="pct"/>
                  <w:tcBorders>
                    <w:tl2br w:val="nil"/>
                    <w:tr2bl w:val="nil"/>
                  </w:tcBorders>
                  <w:vAlign w:val="center"/>
                </w:tcPr>
                <w:p w14:paraId="717460A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治理工艺去除率</w:t>
                  </w:r>
                  <w:r>
                    <w:rPr>
                      <w:rFonts w:hint="eastAsia" w:cs="Times New Roman"/>
                      <w:color w:val="auto"/>
                      <w:kern w:val="2"/>
                      <w:sz w:val="21"/>
                      <w:szCs w:val="21"/>
                      <w:highlight w:val="none"/>
                      <w:lang w:val="en-US" w:eastAsia="zh-CN" w:bidi="ar-SA"/>
                    </w:rPr>
                    <w:t>%</w:t>
                  </w:r>
                </w:p>
              </w:tc>
              <w:tc>
                <w:tcPr>
                  <w:tcW w:w="349" w:type="pct"/>
                  <w:tcBorders>
                    <w:tl2br w:val="nil"/>
                    <w:tr2bl w:val="nil"/>
                  </w:tcBorders>
                  <w:vAlign w:val="center"/>
                </w:tcPr>
                <w:p w14:paraId="7BB2A8E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kern w:val="2"/>
                      <w:sz w:val="21"/>
                      <w:szCs w:val="21"/>
                      <w:highlight w:val="none"/>
                      <w:lang w:val="en-US" w:eastAsia="zh-CN" w:bidi="ar-SA"/>
                    </w:rPr>
                    <w:t>是否为可行技术</w:t>
                  </w:r>
                </w:p>
              </w:tc>
              <w:tc>
                <w:tcPr>
                  <w:tcW w:w="320" w:type="pct"/>
                  <w:vMerge w:val="continue"/>
                  <w:tcBorders>
                    <w:tl2br w:val="nil"/>
                    <w:tr2bl w:val="nil"/>
                  </w:tcBorders>
                  <w:vAlign w:val="center"/>
                </w:tcPr>
                <w:p w14:paraId="0C08AB67">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284" w:type="pct"/>
                  <w:vMerge w:val="continue"/>
                  <w:tcBorders>
                    <w:tl2br w:val="nil"/>
                    <w:tr2bl w:val="nil"/>
                  </w:tcBorders>
                  <w:vAlign w:val="center"/>
                </w:tcPr>
                <w:p w14:paraId="72B4CFA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308" w:type="pct"/>
                  <w:vMerge w:val="continue"/>
                  <w:tcBorders>
                    <w:tl2br w:val="nil"/>
                    <w:tr2bl w:val="nil"/>
                  </w:tcBorders>
                  <w:vAlign w:val="center"/>
                </w:tcPr>
                <w:p w14:paraId="19E32566">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274" w:type="pct"/>
                  <w:vMerge w:val="continue"/>
                  <w:tcBorders>
                    <w:tl2br w:val="nil"/>
                    <w:tr2bl w:val="nil"/>
                  </w:tcBorders>
                  <w:vAlign w:val="center"/>
                </w:tcPr>
                <w:p w14:paraId="5AB108E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265" w:type="pct"/>
                  <w:vMerge w:val="continue"/>
                  <w:tcBorders>
                    <w:tl2br w:val="nil"/>
                    <w:tr2bl w:val="nil"/>
                  </w:tcBorders>
                  <w:vAlign w:val="center"/>
                </w:tcPr>
                <w:p w14:paraId="4ED01DC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c>
                <w:tcPr>
                  <w:tcW w:w="227" w:type="pct"/>
                  <w:vMerge w:val="continue"/>
                  <w:tcBorders>
                    <w:tl2br w:val="nil"/>
                    <w:tr2bl w:val="nil"/>
                  </w:tcBorders>
                  <w:vAlign w:val="center"/>
                </w:tcPr>
                <w:p w14:paraId="03DDB48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auto"/>
                      <w:kern w:val="2"/>
                      <w:sz w:val="21"/>
                      <w:szCs w:val="21"/>
                      <w:highlight w:val="none"/>
                      <w:lang w:val="en-US" w:eastAsia="zh-CN" w:bidi="ar-SA"/>
                    </w:rPr>
                  </w:pPr>
                </w:p>
              </w:tc>
            </w:tr>
            <w:tr w14:paraId="21E53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154" w:type="pct"/>
                  <w:tcBorders>
                    <w:tl2br w:val="nil"/>
                    <w:tr2bl w:val="nil"/>
                  </w:tcBorders>
                  <w:vAlign w:val="center"/>
                </w:tcPr>
                <w:p w14:paraId="0872973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eastAsia="宋体"/>
                      <w:color w:val="auto"/>
                      <w:sz w:val="21"/>
                      <w:szCs w:val="21"/>
                      <w:highlight w:val="none"/>
                      <w:lang w:val="en-US" w:eastAsia="zh-CN"/>
                    </w:rPr>
                  </w:pPr>
                  <w:r>
                    <w:rPr>
                      <w:rFonts w:hint="eastAsia" w:cs="Times New Roman"/>
                      <w:color w:val="auto"/>
                      <w:kern w:val="2"/>
                      <w:sz w:val="21"/>
                      <w:szCs w:val="21"/>
                      <w:highlight w:val="none"/>
                      <w:lang w:val="en-US" w:eastAsia="zh-CN" w:bidi="ar-SA"/>
                    </w:rPr>
                    <w:t>1</w:t>
                  </w:r>
                </w:p>
              </w:tc>
              <w:tc>
                <w:tcPr>
                  <w:tcW w:w="397" w:type="pct"/>
                  <w:vMerge w:val="restart"/>
                  <w:tcBorders>
                    <w:tl2br w:val="nil"/>
                    <w:tr2bl w:val="nil"/>
                  </w:tcBorders>
                  <w:shd w:val="clear" w:color="auto" w:fill="auto"/>
                  <w:vAlign w:val="center"/>
                </w:tcPr>
                <w:p w14:paraId="29E6DA8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工业场地</w:t>
                  </w:r>
                  <w:r>
                    <w:rPr>
                      <w:rFonts w:hint="eastAsia" w:cs="Times New Roman"/>
                      <w:color w:val="auto"/>
                      <w:kern w:val="2"/>
                      <w:sz w:val="21"/>
                      <w:szCs w:val="21"/>
                      <w:highlight w:val="none"/>
                      <w:lang w:val="en-US" w:eastAsia="zh-CN" w:bidi="ar-SA"/>
                    </w:rPr>
                    <w:t>3.5MW</w:t>
                  </w:r>
                  <w:r>
                    <w:rPr>
                      <w:rFonts w:hint="eastAsia" w:ascii="Times New Roman" w:hAnsi="Times New Roman" w:eastAsia="宋体" w:cs="Times New Roman"/>
                      <w:color w:val="auto"/>
                      <w:kern w:val="2"/>
                      <w:sz w:val="21"/>
                      <w:szCs w:val="21"/>
                      <w:highlight w:val="none"/>
                      <w:lang w:val="en-US" w:eastAsia="zh-CN" w:bidi="ar-SA"/>
                    </w:rPr>
                    <w:t>燃气锅炉废气</w:t>
                  </w:r>
                </w:p>
              </w:tc>
              <w:tc>
                <w:tcPr>
                  <w:tcW w:w="282" w:type="pct"/>
                  <w:tcBorders>
                    <w:tl2br w:val="nil"/>
                    <w:tr2bl w:val="nil"/>
                  </w:tcBorders>
                  <w:shd w:val="clear" w:color="auto" w:fill="auto"/>
                  <w:vAlign w:val="center"/>
                </w:tcPr>
                <w:p w14:paraId="272B37E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颗粒物</w:t>
                  </w:r>
                </w:p>
              </w:tc>
              <w:tc>
                <w:tcPr>
                  <w:tcW w:w="331" w:type="pct"/>
                  <w:tcBorders>
                    <w:tl2br w:val="nil"/>
                    <w:tr2bl w:val="nil"/>
                  </w:tcBorders>
                  <w:shd w:val="clear" w:color="auto" w:fill="auto"/>
                  <w:vAlign w:val="center"/>
                </w:tcPr>
                <w:p w14:paraId="31A9A9B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5.0</w:t>
                  </w:r>
                </w:p>
              </w:tc>
              <w:tc>
                <w:tcPr>
                  <w:tcW w:w="309" w:type="pct"/>
                  <w:tcBorders>
                    <w:tl2br w:val="nil"/>
                    <w:tr2bl w:val="nil"/>
                  </w:tcBorders>
                  <w:shd w:val="clear" w:color="auto" w:fill="auto"/>
                  <w:vAlign w:val="center"/>
                </w:tcPr>
                <w:p w14:paraId="662BFA4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w:t>
                  </w:r>
                </w:p>
              </w:tc>
              <w:tc>
                <w:tcPr>
                  <w:tcW w:w="264" w:type="pct"/>
                  <w:tcBorders>
                    <w:tl2br w:val="nil"/>
                    <w:tr2bl w:val="nil"/>
                  </w:tcBorders>
                  <w:shd w:val="clear" w:color="auto" w:fill="auto"/>
                  <w:vAlign w:val="center"/>
                </w:tcPr>
                <w:p w14:paraId="618FEC90">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有组织</w:t>
                  </w:r>
                </w:p>
              </w:tc>
              <w:tc>
                <w:tcPr>
                  <w:tcW w:w="471" w:type="pct"/>
                  <w:vMerge w:val="restart"/>
                  <w:tcBorders>
                    <w:tl2br w:val="nil"/>
                    <w:tr2bl w:val="nil"/>
                  </w:tcBorders>
                  <w:shd w:val="clear" w:color="auto" w:fill="auto"/>
                  <w:vAlign w:val="center"/>
                </w:tcPr>
                <w:p w14:paraId="3A53B48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采用天然气作为燃料</w:t>
                  </w:r>
                </w:p>
              </w:tc>
              <w:tc>
                <w:tcPr>
                  <w:tcW w:w="227" w:type="pct"/>
                  <w:vMerge w:val="restart"/>
                  <w:tcBorders>
                    <w:tl2br w:val="nil"/>
                    <w:tr2bl w:val="nil"/>
                  </w:tcBorders>
                  <w:shd w:val="clear" w:color="auto" w:fill="auto"/>
                  <w:vAlign w:val="center"/>
                </w:tcPr>
                <w:p w14:paraId="1E8C66FD">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3929</w:t>
                  </w:r>
                </w:p>
              </w:tc>
              <w:tc>
                <w:tcPr>
                  <w:tcW w:w="213" w:type="pct"/>
                  <w:tcBorders>
                    <w:tl2br w:val="nil"/>
                    <w:tr2bl w:val="nil"/>
                  </w:tcBorders>
                  <w:shd w:val="clear" w:color="auto" w:fill="auto"/>
                  <w:vAlign w:val="center"/>
                </w:tcPr>
                <w:p w14:paraId="573942C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322" w:type="pct"/>
                  <w:tcBorders>
                    <w:tl2br w:val="nil"/>
                    <w:tr2bl w:val="nil"/>
                  </w:tcBorders>
                  <w:shd w:val="clear" w:color="auto" w:fill="auto"/>
                  <w:vAlign w:val="center"/>
                </w:tcPr>
                <w:p w14:paraId="58294AA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349" w:type="pct"/>
                  <w:tcBorders>
                    <w:tl2br w:val="nil"/>
                    <w:tr2bl w:val="nil"/>
                  </w:tcBorders>
                  <w:shd w:val="clear" w:color="auto" w:fill="auto"/>
                  <w:vAlign w:val="center"/>
                </w:tcPr>
                <w:p w14:paraId="607CD020">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是</w:t>
                  </w:r>
                </w:p>
              </w:tc>
              <w:tc>
                <w:tcPr>
                  <w:tcW w:w="320" w:type="pct"/>
                  <w:tcBorders>
                    <w:tl2br w:val="nil"/>
                    <w:tr2bl w:val="nil"/>
                  </w:tcBorders>
                  <w:shd w:val="clear" w:color="auto" w:fill="auto"/>
                  <w:vAlign w:val="center"/>
                </w:tcPr>
                <w:p w14:paraId="2B313C9B">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w:t>
                  </w:r>
                </w:p>
              </w:tc>
              <w:tc>
                <w:tcPr>
                  <w:tcW w:w="284" w:type="pct"/>
                  <w:tcBorders>
                    <w:tl2br w:val="nil"/>
                    <w:tr2bl w:val="nil"/>
                  </w:tcBorders>
                  <w:shd w:val="clear" w:color="auto" w:fill="auto"/>
                  <w:vAlign w:val="center"/>
                </w:tcPr>
                <w:p w14:paraId="76A3BD53">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w:t>
                  </w:r>
                </w:p>
              </w:tc>
              <w:tc>
                <w:tcPr>
                  <w:tcW w:w="308" w:type="pct"/>
                  <w:vMerge w:val="restart"/>
                  <w:tcBorders>
                    <w:tl2br w:val="nil"/>
                    <w:tr2bl w:val="nil"/>
                  </w:tcBorders>
                  <w:shd w:val="clear" w:color="auto" w:fill="auto"/>
                  <w:vAlign w:val="center"/>
                </w:tcPr>
                <w:p w14:paraId="074CDEB3">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5040</w:t>
                  </w:r>
                </w:p>
              </w:tc>
              <w:tc>
                <w:tcPr>
                  <w:tcW w:w="274" w:type="pct"/>
                  <w:tcBorders>
                    <w:tl2br w:val="nil"/>
                    <w:tr2bl w:val="nil"/>
                  </w:tcBorders>
                  <w:shd w:val="clear" w:color="auto" w:fill="auto"/>
                  <w:vAlign w:val="center"/>
                </w:tcPr>
                <w:p w14:paraId="554B0A3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0.099</w:t>
                  </w:r>
                </w:p>
              </w:tc>
              <w:tc>
                <w:tcPr>
                  <w:tcW w:w="265" w:type="pct"/>
                  <w:vMerge w:val="restart"/>
                  <w:tcBorders>
                    <w:tl2br w:val="nil"/>
                    <w:tr2bl w:val="nil"/>
                  </w:tcBorders>
                  <w:shd w:val="clear" w:color="auto" w:fill="auto"/>
                  <w:vAlign w:val="center"/>
                </w:tcPr>
                <w:p w14:paraId="365D30B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DA0</w:t>
                  </w:r>
                  <w:r>
                    <w:rPr>
                      <w:rFonts w:hint="eastAsia" w:cs="Times New Roman"/>
                      <w:color w:val="auto"/>
                      <w:kern w:val="2"/>
                      <w:sz w:val="21"/>
                      <w:szCs w:val="21"/>
                      <w:highlight w:val="none"/>
                      <w:lang w:val="en-US" w:eastAsia="zh-CN" w:bidi="ar-SA"/>
                    </w:rPr>
                    <w:t>15</w:t>
                  </w:r>
                </w:p>
              </w:tc>
              <w:tc>
                <w:tcPr>
                  <w:tcW w:w="227" w:type="pct"/>
                  <w:tcBorders>
                    <w:tl2br w:val="nil"/>
                    <w:tr2bl w:val="nil"/>
                  </w:tcBorders>
                  <w:shd w:val="clear" w:color="auto" w:fill="auto"/>
                  <w:vAlign w:val="center"/>
                </w:tcPr>
                <w:p w14:paraId="0CD1793D">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w:t>
                  </w:r>
                </w:p>
              </w:tc>
            </w:tr>
            <w:tr w14:paraId="0867D2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154" w:type="pct"/>
                  <w:tcBorders>
                    <w:tl2br w:val="nil"/>
                    <w:tr2bl w:val="nil"/>
                  </w:tcBorders>
                  <w:vAlign w:val="center"/>
                </w:tcPr>
                <w:p w14:paraId="7A8D8180">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eastAsia="宋体"/>
                      <w:color w:val="auto"/>
                      <w:sz w:val="21"/>
                      <w:szCs w:val="21"/>
                      <w:highlight w:val="none"/>
                      <w:lang w:val="en-US" w:eastAsia="zh-CN"/>
                    </w:rPr>
                  </w:pPr>
                  <w:r>
                    <w:rPr>
                      <w:rFonts w:hint="eastAsia" w:cs="Times New Roman"/>
                      <w:color w:val="auto"/>
                      <w:kern w:val="2"/>
                      <w:sz w:val="21"/>
                      <w:szCs w:val="21"/>
                      <w:highlight w:val="none"/>
                      <w:lang w:val="en-US" w:eastAsia="zh-CN" w:bidi="ar-SA"/>
                    </w:rPr>
                    <w:t>2</w:t>
                  </w:r>
                </w:p>
              </w:tc>
              <w:tc>
                <w:tcPr>
                  <w:tcW w:w="397" w:type="pct"/>
                  <w:vMerge w:val="continue"/>
                  <w:tcBorders>
                    <w:tl2br w:val="nil"/>
                    <w:tr2bl w:val="nil"/>
                  </w:tcBorders>
                  <w:shd w:val="clear" w:color="auto" w:fill="auto"/>
                  <w:vAlign w:val="center"/>
                </w:tcPr>
                <w:p w14:paraId="52197AD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82" w:type="pct"/>
                  <w:tcBorders>
                    <w:tl2br w:val="nil"/>
                    <w:tr2bl w:val="nil"/>
                  </w:tcBorders>
                  <w:shd w:val="clear" w:color="auto" w:fill="auto"/>
                  <w:vAlign w:val="center"/>
                </w:tcPr>
                <w:p w14:paraId="71A8933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二氧化硫</w:t>
                  </w:r>
                </w:p>
              </w:tc>
              <w:tc>
                <w:tcPr>
                  <w:tcW w:w="331" w:type="pct"/>
                  <w:tcBorders>
                    <w:tl2br w:val="nil"/>
                    <w:tr2bl w:val="nil"/>
                  </w:tcBorders>
                  <w:shd w:val="clear" w:color="auto" w:fill="auto"/>
                  <w:vAlign w:val="center"/>
                </w:tcPr>
                <w:p w14:paraId="3EDDE307">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w:t>
                  </w:r>
                </w:p>
              </w:tc>
              <w:tc>
                <w:tcPr>
                  <w:tcW w:w="309" w:type="pct"/>
                  <w:tcBorders>
                    <w:tl2br w:val="nil"/>
                    <w:tr2bl w:val="nil"/>
                  </w:tcBorders>
                  <w:shd w:val="clear" w:color="auto" w:fill="auto"/>
                  <w:vAlign w:val="center"/>
                </w:tcPr>
                <w:p w14:paraId="5E1A8F1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0.004</w:t>
                  </w:r>
                </w:p>
              </w:tc>
              <w:tc>
                <w:tcPr>
                  <w:tcW w:w="264" w:type="pct"/>
                  <w:tcBorders>
                    <w:tl2br w:val="nil"/>
                    <w:tr2bl w:val="nil"/>
                  </w:tcBorders>
                  <w:shd w:val="clear" w:color="auto" w:fill="auto"/>
                  <w:vAlign w:val="center"/>
                </w:tcPr>
                <w:p w14:paraId="26D374F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有组织</w:t>
                  </w:r>
                </w:p>
              </w:tc>
              <w:tc>
                <w:tcPr>
                  <w:tcW w:w="471" w:type="pct"/>
                  <w:vMerge w:val="continue"/>
                  <w:tcBorders>
                    <w:tl2br w:val="nil"/>
                    <w:tr2bl w:val="nil"/>
                  </w:tcBorders>
                  <w:shd w:val="clear" w:color="auto" w:fill="auto"/>
                  <w:vAlign w:val="center"/>
                </w:tcPr>
                <w:p w14:paraId="01ABE9B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27" w:type="pct"/>
                  <w:vMerge w:val="continue"/>
                  <w:tcBorders>
                    <w:tl2br w:val="nil"/>
                    <w:tr2bl w:val="nil"/>
                  </w:tcBorders>
                  <w:shd w:val="clear" w:color="auto" w:fill="auto"/>
                  <w:vAlign w:val="center"/>
                </w:tcPr>
                <w:p w14:paraId="7F7FA49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13" w:type="pct"/>
                  <w:tcBorders>
                    <w:tl2br w:val="nil"/>
                    <w:tr2bl w:val="nil"/>
                  </w:tcBorders>
                  <w:shd w:val="clear" w:color="auto" w:fill="auto"/>
                  <w:vAlign w:val="center"/>
                </w:tcPr>
                <w:p w14:paraId="504CBDFD">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322" w:type="pct"/>
                  <w:tcBorders>
                    <w:tl2br w:val="nil"/>
                    <w:tr2bl w:val="nil"/>
                  </w:tcBorders>
                  <w:shd w:val="clear" w:color="auto" w:fill="auto"/>
                  <w:vAlign w:val="center"/>
                </w:tcPr>
                <w:p w14:paraId="2852211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349" w:type="pct"/>
                  <w:tcBorders>
                    <w:tl2br w:val="nil"/>
                    <w:tr2bl w:val="nil"/>
                  </w:tcBorders>
                  <w:shd w:val="clear" w:color="auto" w:fill="auto"/>
                  <w:vAlign w:val="center"/>
                </w:tcPr>
                <w:p w14:paraId="1CA6488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是</w:t>
                  </w:r>
                </w:p>
              </w:tc>
              <w:tc>
                <w:tcPr>
                  <w:tcW w:w="320" w:type="pct"/>
                  <w:tcBorders>
                    <w:tl2br w:val="nil"/>
                    <w:tr2bl w:val="nil"/>
                  </w:tcBorders>
                  <w:shd w:val="clear" w:color="auto" w:fill="auto"/>
                  <w:vAlign w:val="center"/>
                </w:tcPr>
                <w:p w14:paraId="4DF66126">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1.0</w:t>
                  </w:r>
                </w:p>
              </w:tc>
              <w:tc>
                <w:tcPr>
                  <w:tcW w:w="284" w:type="pct"/>
                  <w:tcBorders>
                    <w:tl2br w:val="nil"/>
                    <w:tr2bl w:val="nil"/>
                  </w:tcBorders>
                  <w:shd w:val="clear" w:color="auto" w:fill="auto"/>
                  <w:vAlign w:val="center"/>
                </w:tcPr>
                <w:p w14:paraId="53D5330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0.004</w:t>
                  </w:r>
                </w:p>
              </w:tc>
              <w:tc>
                <w:tcPr>
                  <w:tcW w:w="308" w:type="pct"/>
                  <w:vMerge w:val="continue"/>
                  <w:tcBorders>
                    <w:tl2br w:val="nil"/>
                    <w:tr2bl w:val="nil"/>
                  </w:tcBorders>
                  <w:shd w:val="clear" w:color="auto" w:fill="auto"/>
                  <w:vAlign w:val="center"/>
                </w:tcPr>
                <w:p w14:paraId="480C1BD8">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74" w:type="pct"/>
                  <w:tcBorders>
                    <w:tl2br w:val="nil"/>
                    <w:tr2bl w:val="nil"/>
                  </w:tcBorders>
                  <w:shd w:val="clear" w:color="auto" w:fill="auto"/>
                  <w:vAlign w:val="center"/>
                </w:tcPr>
                <w:p w14:paraId="0A7B9578">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w:t>
                  </w:r>
                </w:p>
              </w:tc>
              <w:tc>
                <w:tcPr>
                  <w:tcW w:w="265" w:type="pct"/>
                  <w:vMerge w:val="continue"/>
                  <w:tcBorders>
                    <w:tl2br w:val="nil"/>
                    <w:tr2bl w:val="nil"/>
                  </w:tcBorders>
                  <w:shd w:val="clear" w:color="auto" w:fill="auto"/>
                  <w:vAlign w:val="center"/>
                </w:tcPr>
                <w:p w14:paraId="0A261DB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27" w:type="pct"/>
                  <w:tcBorders>
                    <w:tl2br w:val="nil"/>
                    <w:tr2bl w:val="nil"/>
                  </w:tcBorders>
                  <w:shd w:val="clear" w:color="auto" w:fill="auto"/>
                  <w:vAlign w:val="center"/>
                </w:tcPr>
                <w:p w14:paraId="127F32E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35</w:t>
                  </w:r>
                </w:p>
              </w:tc>
            </w:tr>
            <w:tr w14:paraId="44DF87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154" w:type="pct"/>
                  <w:tcBorders>
                    <w:tl2br w:val="nil"/>
                    <w:tr2bl w:val="nil"/>
                  </w:tcBorders>
                  <w:shd w:val="clear" w:color="auto" w:fill="auto"/>
                  <w:vAlign w:val="center"/>
                </w:tcPr>
                <w:p w14:paraId="0C9EE6C3">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3</w:t>
                  </w:r>
                </w:p>
              </w:tc>
              <w:tc>
                <w:tcPr>
                  <w:tcW w:w="397" w:type="pct"/>
                  <w:vMerge w:val="continue"/>
                  <w:tcBorders>
                    <w:tl2br w:val="nil"/>
                    <w:tr2bl w:val="nil"/>
                  </w:tcBorders>
                  <w:shd w:val="clear" w:color="auto" w:fill="auto"/>
                  <w:vAlign w:val="center"/>
                </w:tcPr>
                <w:p w14:paraId="3D4C8821">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82" w:type="pct"/>
                  <w:tcBorders>
                    <w:tl2br w:val="nil"/>
                    <w:tr2bl w:val="nil"/>
                  </w:tcBorders>
                  <w:shd w:val="clear" w:color="auto" w:fill="auto"/>
                  <w:vAlign w:val="center"/>
                </w:tcPr>
                <w:p w14:paraId="632D42F5">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氮氧化物</w:t>
                  </w:r>
                </w:p>
              </w:tc>
              <w:tc>
                <w:tcPr>
                  <w:tcW w:w="331" w:type="pct"/>
                  <w:tcBorders>
                    <w:tl2br w:val="nil"/>
                    <w:tr2bl w:val="nil"/>
                  </w:tcBorders>
                  <w:shd w:val="clear" w:color="auto" w:fill="auto"/>
                  <w:vAlign w:val="center"/>
                </w:tcPr>
                <w:p w14:paraId="38C9196F">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50</w:t>
                  </w:r>
                </w:p>
              </w:tc>
              <w:tc>
                <w:tcPr>
                  <w:tcW w:w="309" w:type="pct"/>
                  <w:tcBorders>
                    <w:tl2br w:val="nil"/>
                    <w:tr2bl w:val="nil"/>
                  </w:tcBorders>
                  <w:shd w:val="clear" w:color="auto" w:fill="auto"/>
                  <w:vAlign w:val="center"/>
                </w:tcPr>
                <w:p w14:paraId="7A7BF368">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0.196</w:t>
                  </w:r>
                </w:p>
              </w:tc>
              <w:tc>
                <w:tcPr>
                  <w:tcW w:w="264" w:type="pct"/>
                  <w:tcBorders>
                    <w:tl2br w:val="nil"/>
                    <w:tr2bl w:val="nil"/>
                  </w:tcBorders>
                  <w:shd w:val="clear" w:color="auto" w:fill="auto"/>
                  <w:vAlign w:val="center"/>
                </w:tcPr>
                <w:p w14:paraId="0F21144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有组织</w:t>
                  </w:r>
                </w:p>
              </w:tc>
              <w:tc>
                <w:tcPr>
                  <w:tcW w:w="471" w:type="pct"/>
                  <w:tcBorders>
                    <w:tl2br w:val="nil"/>
                    <w:tr2bl w:val="nil"/>
                  </w:tcBorders>
                  <w:shd w:val="clear" w:color="auto" w:fill="auto"/>
                  <w:vAlign w:val="center"/>
                </w:tcPr>
                <w:p w14:paraId="6DD0E01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采用天然气作为燃料，配套低氮燃烧+烟气再循环</w:t>
                  </w:r>
                  <w:r>
                    <w:rPr>
                      <w:rFonts w:hint="eastAsia" w:cs="Times New Roman"/>
                      <w:color w:val="auto"/>
                      <w:kern w:val="2"/>
                      <w:sz w:val="21"/>
                      <w:szCs w:val="21"/>
                      <w:highlight w:val="none"/>
                      <w:lang w:val="en-US" w:eastAsia="zh-CN" w:bidi="ar-SA"/>
                    </w:rPr>
                    <w:t>装置</w:t>
                  </w:r>
                </w:p>
              </w:tc>
              <w:tc>
                <w:tcPr>
                  <w:tcW w:w="227" w:type="pct"/>
                  <w:vMerge w:val="continue"/>
                  <w:tcBorders>
                    <w:tl2br w:val="nil"/>
                    <w:tr2bl w:val="nil"/>
                  </w:tcBorders>
                  <w:shd w:val="clear" w:color="auto" w:fill="auto"/>
                  <w:vAlign w:val="center"/>
                </w:tcPr>
                <w:p w14:paraId="1A2B0D78">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213" w:type="pct"/>
                  <w:tcBorders>
                    <w:tl2br w:val="nil"/>
                    <w:tr2bl w:val="nil"/>
                  </w:tcBorders>
                  <w:shd w:val="clear" w:color="auto" w:fill="auto"/>
                  <w:vAlign w:val="center"/>
                </w:tcPr>
                <w:p w14:paraId="62A79249">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322" w:type="pct"/>
                  <w:tcBorders>
                    <w:tl2br w:val="nil"/>
                    <w:tr2bl w:val="nil"/>
                  </w:tcBorders>
                  <w:shd w:val="clear" w:color="auto" w:fill="auto"/>
                  <w:vAlign w:val="center"/>
                </w:tcPr>
                <w:p w14:paraId="48E0F82B">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349" w:type="pct"/>
                  <w:tcBorders>
                    <w:tl2br w:val="nil"/>
                    <w:tr2bl w:val="nil"/>
                  </w:tcBorders>
                  <w:shd w:val="clear" w:color="auto" w:fill="auto"/>
                  <w:vAlign w:val="center"/>
                </w:tcPr>
                <w:p w14:paraId="6F768198">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是</w:t>
                  </w:r>
                </w:p>
              </w:tc>
              <w:tc>
                <w:tcPr>
                  <w:tcW w:w="320" w:type="pct"/>
                  <w:tcBorders>
                    <w:tl2br w:val="nil"/>
                    <w:tr2bl w:val="nil"/>
                  </w:tcBorders>
                  <w:shd w:val="clear" w:color="auto" w:fill="auto"/>
                  <w:vAlign w:val="center"/>
                </w:tcPr>
                <w:p w14:paraId="392FE67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50</w:t>
                  </w:r>
                </w:p>
              </w:tc>
              <w:tc>
                <w:tcPr>
                  <w:tcW w:w="284" w:type="pct"/>
                  <w:tcBorders>
                    <w:tl2br w:val="nil"/>
                    <w:tr2bl w:val="nil"/>
                  </w:tcBorders>
                  <w:shd w:val="clear" w:color="auto" w:fill="auto"/>
                  <w:vAlign w:val="center"/>
                </w:tcPr>
                <w:p w14:paraId="7A6037C1">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0.196</w:t>
                  </w:r>
                </w:p>
              </w:tc>
              <w:tc>
                <w:tcPr>
                  <w:tcW w:w="308" w:type="pct"/>
                  <w:vMerge w:val="continue"/>
                  <w:tcBorders>
                    <w:tl2br w:val="nil"/>
                    <w:tr2bl w:val="nil"/>
                  </w:tcBorders>
                  <w:shd w:val="clear" w:color="auto" w:fill="auto"/>
                  <w:vAlign w:val="center"/>
                </w:tcPr>
                <w:p w14:paraId="74830CEF">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274" w:type="pct"/>
                  <w:tcBorders>
                    <w:tl2br w:val="nil"/>
                    <w:tr2bl w:val="nil"/>
                  </w:tcBorders>
                  <w:shd w:val="clear" w:color="auto" w:fill="auto"/>
                  <w:vAlign w:val="center"/>
                </w:tcPr>
                <w:p w14:paraId="01A00311">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0.99</w:t>
                  </w:r>
                </w:p>
              </w:tc>
              <w:tc>
                <w:tcPr>
                  <w:tcW w:w="265" w:type="pct"/>
                  <w:vMerge w:val="continue"/>
                  <w:tcBorders>
                    <w:tl2br w:val="nil"/>
                    <w:tr2bl w:val="nil"/>
                  </w:tcBorders>
                  <w:shd w:val="clear" w:color="auto" w:fill="auto"/>
                  <w:vAlign w:val="center"/>
                </w:tcPr>
                <w:p w14:paraId="67962305">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27" w:type="pct"/>
                  <w:tcBorders>
                    <w:tl2br w:val="nil"/>
                    <w:tr2bl w:val="nil"/>
                  </w:tcBorders>
                  <w:shd w:val="clear" w:color="auto" w:fill="auto"/>
                  <w:vAlign w:val="center"/>
                </w:tcPr>
                <w:p w14:paraId="570E34F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50</w:t>
                  </w:r>
                </w:p>
              </w:tc>
            </w:tr>
            <w:tr w14:paraId="18EFBD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16" w:hRule="atLeast"/>
                <w:jc w:val="center"/>
              </w:trPr>
              <w:tc>
                <w:tcPr>
                  <w:tcW w:w="154" w:type="pct"/>
                  <w:tcBorders>
                    <w:tl2br w:val="nil"/>
                    <w:tr2bl w:val="nil"/>
                  </w:tcBorders>
                  <w:shd w:val="clear" w:color="auto" w:fill="auto"/>
                  <w:vAlign w:val="center"/>
                </w:tcPr>
                <w:p w14:paraId="4DC16081">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397" w:type="pct"/>
                  <w:vMerge w:val="continue"/>
                  <w:tcBorders>
                    <w:tl2br w:val="nil"/>
                    <w:tr2bl w:val="nil"/>
                  </w:tcBorders>
                  <w:shd w:val="clear" w:color="auto" w:fill="auto"/>
                  <w:vAlign w:val="center"/>
                </w:tcPr>
                <w:p w14:paraId="49946AC1">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p>
              </w:tc>
              <w:tc>
                <w:tcPr>
                  <w:tcW w:w="282" w:type="pct"/>
                  <w:tcBorders>
                    <w:tl2br w:val="nil"/>
                    <w:tr2bl w:val="nil"/>
                  </w:tcBorders>
                  <w:shd w:val="clear" w:color="auto" w:fill="auto"/>
                  <w:vAlign w:val="center"/>
                </w:tcPr>
                <w:p w14:paraId="35F4363A">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林格曼黑度</w:t>
                  </w:r>
                </w:p>
              </w:tc>
              <w:tc>
                <w:tcPr>
                  <w:tcW w:w="331" w:type="pct"/>
                  <w:tcBorders>
                    <w:tl2br w:val="nil"/>
                    <w:tr2bl w:val="nil"/>
                  </w:tcBorders>
                  <w:shd w:val="clear" w:color="auto" w:fill="auto"/>
                  <w:vAlign w:val="center"/>
                </w:tcPr>
                <w:p w14:paraId="6C7677F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color w:val="auto"/>
                      <w:spacing w:val="4"/>
                      <w:sz w:val="21"/>
                      <w:szCs w:val="21"/>
                      <w:highlight w:val="none"/>
                      <w:lang w:val="en-US" w:eastAsia="zh-CN"/>
                    </w:rPr>
                  </w:pPr>
                  <w:r>
                    <w:rPr>
                      <w:rFonts w:hint="eastAsia"/>
                      <w:color w:val="auto"/>
                      <w:spacing w:val="4"/>
                      <w:sz w:val="21"/>
                      <w:szCs w:val="21"/>
                      <w:highlight w:val="none"/>
                      <w:lang w:val="en-US" w:eastAsia="zh-CN"/>
                    </w:rPr>
                    <w:t>/</w:t>
                  </w:r>
                </w:p>
              </w:tc>
              <w:tc>
                <w:tcPr>
                  <w:tcW w:w="309" w:type="pct"/>
                  <w:tcBorders>
                    <w:tl2br w:val="nil"/>
                    <w:tr2bl w:val="nil"/>
                  </w:tcBorders>
                  <w:shd w:val="clear" w:color="auto" w:fill="auto"/>
                  <w:vAlign w:val="center"/>
                </w:tcPr>
                <w:p w14:paraId="5030D561">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color w:val="auto"/>
                      <w:spacing w:val="4"/>
                      <w:sz w:val="21"/>
                      <w:szCs w:val="21"/>
                      <w:highlight w:val="none"/>
                      <w:lang w:val="en-US" w:eastAsia="zh-CN"/>
                    </w:rPr>
                  </w:pPr>
                  <w:r>
                    <w:rPr>
                      <w:rFonts w:hint="eastAsia"/>
                      <w:color w:val="auto"/>
                      <w:spacing w:val="4"/>
                      <w:sz w:val="21"/>
                      <w:szCs w:val="21"/>
                      <w:highlight w:val="none"/>
                      <w:lang w:val="en-US" w:eastAsia="zh-CN"/>
                    </w:rPr>
                    <w:t>/</w:t>
                  </w:r>
                </w:p>
              </w:tc>
              <w:tc>
                <w:tcPr>
                  <w:tcW w:w="264" w:type="pct"/>
                  <w:tcBorders>
                    <w:tl2br w:val="nil"/>
                    <w:tr2bl w:val="nil"/>
                  </w:tcBorders>
                  <w:shd w:val="clear" w:color="auto" w:fill="auto"/>
                  <w:vAlign w:val="center"/>
                </w:tcPr>
                <w:p w14:paraId="22E8C15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有组织</w:t>
                  </w:r>
                </w:p>
              </w:tc>
              <w:tc>
                <w:tcPr>
                  <w:tcW w:w="471" w:type="pct"/>
                  <w:tcBorders>
                    <w:tl2br w:val="nil"/>
                    <w:tr2bl w:val="nil"/>
                  </w:tcBorders>
                  <w:shd w:val="clear" w:color="auto" w:fill="auto"/>
                  <w:vAlign w:val="center"/>
                </w:tcPr>
                <w:p w14:paraId="58A450A7">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采用天然气作为燃料</w:t>
                  </w:r>
                </w:p>
              </w:tc>
              <w:tc>
                <w:tcPr>
                  <w:tcW w:w="227" w:type="pct"/>
                  <w:vMerge w:val="continue"/>
                  <w:tcBorders>
                    <w:tl2br w:val="nil"/>
                    <w:tr2bl w:val="nil"/>
                  </w:tcBorders>
                  <w:shd w:val="clear" w:color="auto" w:fill="auto"/>
                  <w:vAlign w:val="center"/>
                </w:tcPr>
                <w:p w14:paraId="5B71D9F5">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13" w:type="pct"/>
                  <w:tcBorders>
                    <w:tl2br w:val="nil"/>
                    <w:tr2bl w:val="nil"/>
                  </w:tcBorders>
                  <w:shd w:val="clear" w:color="auto" w:fill="auto"/>
                  <w:vAlign w:val="center"/>
                </w:tcPr>
                <w:p w14:paraId="2E1B353E">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322" w:type="pct"/>
                  <w:tcBorders>
                    <w:tl2br w:val="nil"/>
                    <w:tr2bl w:val="nil"/>
                  </w:tcBorders>
                  <w:shd w:val="clear" w:color="auto" w:fill="auto"/>
                  <w:vAlign w:val="center"/>
                </w:tcPr>
                <w:p w14:paraId="393CEAC6">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p>
              </w:tc>
              <w:tc>
                <w:tcPr>
                  <w:tcW w:w="349" w:type="pct"/>
                  <w:tcBorders>
                    <w:tl2br w:val="nil"/>
                    <w:tr2bl w:val="nil"/>
                  </w:tcBorders>
                  <w:shd w:val="clear" w:color="auto" w:fill="auto"/>
                  <w:vAlign w:val="center"/>
                </w:tcPr>
                <w:p w14:paraId="323F1490">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是</w:t>
                  </w:r>
                </w:p>
              </w:tc>
              <w:tc>
                <w:tcPr>
                  <w:tcW w:w="320" w:type="pct"/>
                  <w:tcBorders>
                    <w:tl2br w:val="nil"/>
                    <w:tr2bl w:val="nil"/>
                  </w:tcBorders>
                  <w:shd w:val="clear" w:color="auto" w:fill="auto"/>
                  <w:vAlign w:val="center"/>
                </w:tcPr>
                <w:p w14:paraId="762F4532">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284" w:type="pct"/>
                  <w:tcBorders>
                    <w:tl2br w:val="nil"/>
                    <w:tr2bl w:val="nil"/>
                  </w:tcBorders>
                  <w:shd w:val="clear" w:color="auto" w:fill="auto"/>
                  <w:vAlign w:val="center"/>
                </w:tcPr>
                <w:p w14:paraId="702CA404">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308" w:type="pct"/>
                  <w:vMerge w:val="continue"/>
                  <w:tcBorders>
                    <w:tl2br w:val="nil"/>
                    <w:tr2bl w:val="nil"/>
                  </w:tcBorders>
                  <w:shd w:val="clear" w:color="auto" w:fill="auto"/>
                  <w:vAlign w:val="center"/>
                </w:tcPr>
                <w:p w14:paraId="6704F45F">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74" w:type="pct"/>
                  <w:tcBorders>
                    <w:tl2br w:val="nil"/>
                    <w:tr2bl w:val="nil"/>
                  </w:tcBorders>
                  <w:shd w:val="clear" w:color="auto" w:fill="auto"/>
                  <w:vAlign w:val="center"/>
                </w:tcPr>
                <w:p w14:paraId="2DD6C4BC">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265" w:type="pct"/>
                  <w:vMerge w:val="continue"/>
                  <w:tcBorders>
                    <w:tl2br w:val="nil"/>
                    <w:tr2bl w:val="nil"/>
                  </w:tcBorders>
                  <w:shd w:val="clear" w:color="auto" w:fill="auto"/>
                  <w:vAlign w:val="center"/>
                </w:tcPr>
                <w:p w14:paraId="3D7EF911">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highlight w:val="none"/>
                      <w:lang w:val="en-US" w:eastAsia="zh-CN" w:bidi="ar-SA"/>
                    </w:rPr>
                  </w:pPr>
                </w:p>
              </w:tc>
              <w:tc>
                <w:tcPr>
                  <w:tcW w:w="227" w:type="pct"/>
                  <w:tcBorders>
                    <w:tl2br w:val="nil"/>
                    <w:tr2bl w:val="nil"/>
                  </w:tcBorders>
                  <w:shd w:val="clear" w:color="auto" w:fill="auto"/>
                  <w:vAlign w:val="center"/>
                </w:tcPr>
                <w:p w14:paraId="1EC29B06">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≤1级</w:t>
                  </w:r>
                </w:p>
              </w:tc>
            </w:tr>
          </w:tbl>
          <w:p w14:paraId="5BBB1614">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eastAsia" w:ascii="Times New Roman" w:hAnsi="Times New Roman" w:eastAsia="黑体" w:cs="Times New Roman"/>
                <w:b w:val="0"/>
                <w:bCs w:val="0"/>
                <w:color w:val="auto"/>
                <w:kern w:val="2"/>
                <w:sz w:val="21"/>
                <w:szCs w:val="21"/>
                <w:highlight w:val="none"/>
                <w:lang w:val="en-US" w:eastAsia="zh-CN" w:bidi="ar-SA"/>
              </w:rPr>
            </w:pPr>
          </w:p>
          <w:p w14:paraId="37D425F8">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eastAsia" w:ascii="Times New Roman" w:hAnsi="Times New Roman" w:eastAsia="黑体" w:cs="Times New Roman"/>
                <w:b w:val="0"/>
                <w:bCs w:val="0"/>
                <w:color w:val="auto"/>
                <w:kern w:val="2"/>
                <w:sz w:val="21"/>
                <w:szCs w:val="21"/>
                <w:highlight w:val="none"/>
                <w:lang w:val="en-US" w:eastAsia="zh-CN" w:bidi="ar-SA"/>
              </w:rPr>
            </w:pPr>
          </w:p>
          <w:p w14:paraId="110A1851">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eastAsia" w:ascii="Times New Roman" w:hAnsi="Times New Roman" w:eastAsia="黑体" w:cs="Times New Roman"/>
                <w:b w:val="0"/>
                <w:bCs w:val="0"/>
                <w:color w:val="auto"/>
                <w:kern w:val="2"/>
                <w:sz w:val="21"/>
                <w:szCs w:val="21"/>
                <w:highlight w:val="none"/>
                <w:lang w:val="en-US" w:eastAsia="zh-CN" w:bidi="ar-SA"/>
              </w:rPr>
            </w:pPr>
          </w:p>
          <w:p w14:paraId="4E02ACD3">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eastAsia" w:ascii="Times New Roman" w:hAnsi="Times New Roman" w:eastAsia="宋体" w:cs="Times New Roman"/>
                <w:b/>
                <w:bCs w:val="0"/>
                <w:color w:val="auto"/>
                <w:spacing w:val="-10"/>
                <w:sz w:val="24"/>
                <w:szCs w:val="24"/>
                <w:highlight w:val="none"/>
                <w:vertAlign w:val="baseline"/>
                <w:lang w:val="en-US" w:eastAsia="zh-CN"/>
              </w:rPr>
            </w:pPr>
          </w:p>
        </w:tc>
      </w:tr>
    </w:tbl>
    <w:p w14:paraId="736E84D3">
      <w:pPr>
        <w:rPr>
          <w:color w:val="auto"/>
          <w:highlight w:val="none"/>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4"/>
        <w:tblW w:w="890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12DA18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6" w:type="dxa"/>
            <w:tcMar>
              <w:left w:w="28" w:type="dxa"/>
              <w:right w:w="28" w:type="dxa"/>
            </w:tcMar>
            <w:vAlign w:val="center"/>
          </w:tcPr>
          <w:p w14:paraId="2A5650AE">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cs="Times New Roman"/>
                <w:bCs/>
                <w:color w:val="auto"/>
                <w:szCs w:val="21"/>
                <w:highlight w:val="none"/>
              </w:rPr>
              <w:t>运</w:t>
            </w:r>
            <w:r>
              <w:rPr>
                <w:rFonts w:hint="default" w:ascii="Times New Roman" w:hAnsi="Times New Roman" w:eastAsia="宋体" w:cs="Times New Roman"/>
                <w:bCs/>
                <w:color w:val="auto"/>
                <w:szCs w:val="21"/>
                <w:highlight w:val="none"/>
              </w:rPr>
              <w:t>营</w:t>
            </w:r>
          </w:p>
          <w:p w14:paraId="1DC313EC">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期环</w:t>
            </w:r>
          </w:p>
          <w:p w14:paraId="62205C4D">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境影</w:t>
            </w:r>
          </w:p>
          <w:p w14:paraId="0A576FC0">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响和</w:t>
            </w:r>
          </w:p>
          <w:p w14:paraId="7154CDAE">
            <w:pPr>
              <w:adjustRightInd w:val="0"/>
              <w:snapToGrid w:val="0"/>
              <w:jc w:val="center"/>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保护</w:t>
            </w:r>
          </w:p>
          <w:p w14:paraId="2623A37D">
            <w:pPr>
              <w:adjustRightInd w:val="0"/>
              <w:snapToGrid w:val="0"/>
              <w:jc w:val="center"/>
              <w:rPr>
                <w:rFonts w:hint="default" w:ascii="Times New Roman" w:hAnsi="Times New Roman" w:cs="Times New Roman"/>
                <w:color w:val="auto"/>
                <w:kern w:val="2"/>
                <w:sz w:val="21"/>
                <w:szCs w:val="21"/>
                <w:highlight w:val="none"/>
              </w:rPr>
            </w:pPr>
            <w:r>
              <w:rPr>
                <w:rFonts w:hint="default" w:ascii="Times New Roman" w:hAnsi="Times New Roman" w:eastAsia="宋体" w:cs="Times New Roman"/>
                <w:bCs/>
                <w:color w:val="auto"/>
                <w:szCs w:val="21"/>
                <w:highlight w:val="none"/>
              </w:rPr>
              <w:t>措施</w:t>
            </w:r>
          </w:p>
        </w:tc>
        <w:tc>
          <w:tcPr>
            <w:tcW w:w="8162" w:type="dxa"/>
            <w:vAlign w:val="center"/>
          </w:tcPr>
          <w:p w14:paraId="36F5963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ascii="Times New Roman" w:hAnsi="Times New Roman" w:eastAsia="宋体" w:cs="Times New Roman"/>
                <w:b w:val="0"/>
                <w:bCs w:val="0"/>
                <w:color w:val="auto"/>
                <w:sz w:val="24"/>
                <w:highlight w:val="none"/>
                <w:lang w:val="en-US" w:eastAsia="zh-CN"/>
              </w:rPr>
            </w:pPr>
            <w:r>
              <w:rPr>
                <w:rFonts w:hint="default" w:ascii="Times New Roman" w:hAnsi="Times New Roman" w:eastAsia="宋体" w:cs="Times New Roman"/>
                <w:b w:val="0"/>
                <w:bCs w:val="0"/>
                <w:color w:val="auto"/>
                <w:sz w:val="24"/>
                <w:highlight w:val="none"/>
                <w:lang w:val="en-US" w:eastAsia="zh-CN"/>
              </w:rPr>
              <w:t>1</w:t>
            </w:r>
            <w:r>
              <w:rPr>
                <w:rFonts w:hint="eastAsia" w:ascii="Times New Roman" w:hAnsi="Times New Roman" w:eastAsia="宋体" w:cs="Times New Roman"/>
                <w:b w:val="0"/>
                <w:bCs w:val="0"/>
                <w:color w:val="auto"/>
                <w:sz w:val="24"/>
                <w:highlight w:val="none"/>
                <w:lang w:val="en-US" w:eastAsia="zh-CN"/>
              </w:rPr>
              <w:t>.</w:t>
            </w:r>
            <w:r>
              <w:rPr>
                <w:rFonts w:hint="default" w:ascii="Times New Roman" w:hAnsi="Times New Roman" w:eastAsia="宋体" w:cs="Times New Roman"/>
                <w:b w:val="0"/>
                <w:bCs w:val="0"/>
                <w:color w:val="auto"/>
                <w:sz w:val="24"/>
                <w:highlight w:val="none"/>
                <w:lang w:val="en-US" w:eastAsia="zh-CN"/>
              </w:rPr>
              <w:t>污染物源强计算及防治措施</w:t>
            </w:r>
          </w:p>
          <w:p w14:paraId="1E212F1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color w:val="auto"/>
                <w:sz w:val="24"/>
                <w:highlight w:val="none"/>
                <w:lang w:val="en-US" w:eastAsia="zh-CN"/>
              </w:rPr>
            </w:pPr>
            <w:r>
              <w:rPr>
                <w:rFonts w:hint="default" w:ascii="Times New Roman" w:hAnsi="Times New Roman" w:cs="Times New Roman"/>
                <w:color w:val="auto"/>
                <w:sz w:val="24"/>
                <w:highlight w:val="none"/>
              </w:rPr>
              <w:t>G1</w:t>
            </w:r>
            <w:r>
              <w:rPr>
                <w:rFonts w:hint="eastAsia" w:cs="Times New Roman"/>
                <w:color w:val="auto"/>
                <w:sz w:val="24"/>
                <w:highlight w:val="none"/>
                <w:lang w:eastAsia="zh-CN"/>
              </w:rPr>
              <w:t>：</w:t>
            </w:r>
            <w:r>
              <w:rPr>
                <w:rFonts w:hint="eastAsia" w:cs="Times New Roman"/>
                <w:color w:val="auto"/>
                <w:sz w:val="24"/>
                <w:highlight w:val="none"/>
                <w:lang w:val="en-US" w:eastAsia="zh-CN"/>
              </w:rPr>
              <w:t>锅炉烟气</w:t>
            </w:r>
          </w:p>
          <w:p w14:paraId="33064A2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项目废气主要为燃气热水锅炉排放废气，废气污染物为颗粒物、二氧化硫、氮氧化物、林格曼黑度。项目锅炉采用低氮燃烧+烟气再循环技术，废气通过1根22m高排气筒排放。根据建设单位提供的燃气锅炉资料，计算出本项目天然气使用量为211.68万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/a，本项目锅炉年运行时间为210天，每天运行24小时。锅炉烟气中的主要污染物为颗粒物、SO</w:t>
            </w:r>
            <w:r>
              <w:rPr>
                <w:rFonts w:hint="eastAsia" w:cs="Times New Roman"/>
                <w:color w:val="auto"/>
                <w:sz w:val="24"/>
                <w:highlight w:val="none"/>
                <w:vertAlign w:val="subscript"/>
                <w:lang w:val="en-US" w:eastAsia="zh-CN"/>
              </w:rPr>
              <w:t>2</w:t>
            </w:r>
            <w:r>
              <w:rPr>
                <w:rFonts w:hint="eastAsia" w:cs="Times New Roman"/>
                <w:color w:val="auto"/>
                <w:sz w:val="24"/>
                <w:highlight w:val="none"/>
                <w:lang w:val="en-US" w:eastAsia="zh-CN"/>
              </w:rPr>
              <w:t>、NOx、林格曼黑度。</w:t>
            </w:r>
          </w:p>
          <w:p w14:paraId="2E6D96B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（1）废气量</w:t>
            </w:r>
          </w:p>
          <w:p w14:paraId="239621E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本项目锅炉烟气量核算根据《排污许可证申请与核发技术规范 锅炉》（HJ953-2018）推荐的经验公式估算法</w:t>
            </w:r>
            <w:r>
              <w:rPr>
                <w:rFonts w:hint="eastAsia" w:ascii="Times New Roman" w:hAnsi="Times New Roman" w:eastAsia="宋体" w:cs="Times New Roman"/>
                <w:color w:val="auto"/>
                <w:sz w:val="24"/>
                <w:highlight w:val="none"/>
                <w:lang w:val="en-US" w:eastAsia="zh-CN"/>
              </w:rPr>
              <w:t>。</w:t>
            </w:r>
          </w:p>
          <w:p w14:paraId="7A67C73E">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V</w:t>
            </w:r>
            <w:r>
              <w:rPr>
                <w:rFonts w:hint="eastAsia" w:cs="Times New Roman"/>
                <w:color w:val="auto"/>
                <w:sz w:val="24"/>
                <w:highlight w:val="none"/>
                <w:vertAlign w:val="subscript"/>
                <w:lang w:val="en-US" w:eastAsia="zh-CN"/>
              </w:rPr>
              <w:t>gy</w:t>
            </w:r>
            <w:r>
              <w:rPr>
                <w:rFonts w:hint="eastAsia" w:cs="Times New Roman"/>
                <w:color w:val="auto"/>
                <w:sz w:val="24"/>
                <w:highlight w:val="none"/>
                <w:lang w:val="en-US" w:eastAsia="zh-CN"/>
              </w:rPr>
              <w:t>=0.285Q</w:t>
            </w:r>
            <w:r>
              <w:rPr>
                <w:rFonts w:hint="eastAsia" w:cs="Times New Roman"/>
                <w:color w:val="auto"/>
                <w:sz w:val="24"/>
                <w:highlight w:val="none"/>
                <w:vertAlign w:val="subscript"/>
                <w:lang w:val="en-US" w:eastAsia="zh-CN"/>
              </w:rPr>
              <w:t>net</w:t>
            </w:r>
            <w:r>
              <w:rPr>
                <w:rFonts w:hint="eastAsia" w:cs="Times New Roman"/>
                <w:color w:val="auto"/>
                <w:sz w:val="24"/>
                <w:highlight w:val="none"/>
                <w:lang w:val="en-US" w:eastAsia="zh-CN"/>
              </w:rPr>
              <w:t>+0.343</w:t>
            </w:r>
          </w:p>
          <w:p w14:paraId="528A13D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式中：V</w:t>
            </w:r>
            <w:r>
              <w:rPr>
                <w:rFonts w:hint="eastAsia" w:cs="Times New Roman"/>
                <w:color w:val="auto"/>
                <w:sz w:val="24"/>
                <w:highlight w:val="none"/>
                <w:vertAlign w:val="subscript"/>
                <w:lang w:val="en-US" w:eastAsia="zh-CN"/>
              </w:rPr>
              <w:t>gy</w:t>
            </w:r>
            <w:r>
              <w:rPr>
                <w:rFonts w:hint="eastAsia" w:cs="Times New Roman"/>
                <w:color w:val="auto"/>
                <w:sz w:val="24"/>
                <w:highlight w:val="none"/>
                <w:lang w:val="en-US" w:eastAsia="zh-CN"/>
              </w:rPr>
              <w:t>——基准烟气量，Nm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w:t>
            </w:r>
          </w:p>
          <w:p w14:paraId="38ECC978">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jc w:val="both"/>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Q</w:t>
            </w:r>
            <w:r>
              <w:rPr>
                <w:rFonts w:hint="eastAsia" w:cs="Times New Roman"/>
                <w:color w:val="auto"/>
                <w:sz w:val="24"/>
                <w:highlight w:val="none"/>
                <w:vertAlign w:val="subscript"/>
                <w:lang w:val="en-US" w:eastAsia="zh-CN"/>
              </w:rPr>
              <w:t>net</w:t>
            </w:r>
            <w:r>
              <w:rPr>
                <w:rFonts w:hint="eastAsia" w:cs="Times New Roman"/>
                <w:color w:val="auto"/>
                <w:sz w:val="24"/>
                <w:highlight w:val="none"/>
                <w:lang w:val="en-US" w:eastAsia="zh-CN"/>
              </w:rPr>
              <w:t>——低位发热量，MJ/m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，本项目使用燃气低位发热量为31.62</w:t>
            </w:r>
            <w:r>
              <w:rPr>
                <w:rFonts w:hint="eastAsia" w:cs="Times New Roman"/>
                <w:color w:val="auto"/>
                <w:sz w:val="24"/>
                <w:highlight w:val="none"/>
                <w:lang w:val="en-US" w:eastAsia="zh-CN"/>
              </w:rPr>
              <w:t>MJ/m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w:t>
            </w:r>
          </w:p>
          <w:p w14:paraId="7F6674F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计算得出，V</w:t>
            </w:r>
            <w:r>
              <w:rPr>
                <w:rFonts w:hint="eastAsia" w:cs="Times New Roman"/>
                <w:color w:val="auto"/>
                <w:sz w:val="24"/>
                <w:highlight w:val="none"/>
                <w:vertAlign w:val="subscript"/>
                <w:lang w:val="en-US" w:eastAsia="zh-CN"/>
              </w:rPr>
              <w:t>gy</w:t>
            </w:r>
            <w:r>
              <w:rPr>
                <w:rFonts w:hint="eastAsia" w:cs="Times New Roman"/>
                <w:color w:val="auto"/>
                <w:sz w:val="24"/>
                <w:highlight w:val="none"/>
                <w:lang w:val="en-US" w:eastAsia="zh-CN"/>
              </w:rPr>
              <w:t>=9.3547Nm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，则本项目燃气锅炉烟气量约为1980.203万Nm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/a（3929m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/h）。</w:t>
            </w:r>
          </w:p>
          <w:p w14:paraId="16FE48F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（2）颗粒物排放量</w:t>
            </w:r>
          </w:p>
          <w:p w14:paraId="74687C0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cs="Times New Roman"/>
                <w:color w:val="auto"/>
                <w:sz w:val="24"/>
                <w:highlight w:val="yellow"/>
                <w:vertAlign w:val="baseline"/>
                <w:lang w:val="en-US" w:eastAsia="zh-CN"/>
              </w:rPr>
            </w:pPr>
            <w:r>
              <w:rPr>
                <w:rFonts w:hint="eastAsia" w:cs="Times New Roman"/>
                <w:color w:val="auto"/>
                <w:sz w:val="24"/>
                <w:highlight w:val="none"/>
                <w:vertAlign w:val="baseline"/>
                <w:lang w:val="en-US" w:eastAsia="zh-CN"/>
              </w:rPr>
              <w:t>根据本项目所选用燃气锅炉型号及所采用的燃烧工艺，本项目使用天然气与现有工程锅炉使用燃气来源相同，属于清洁能源，类比现有工程锅炉排放口颗粒物排放浓度，天然气经燃烧后颗粒物排放浓度均＜5mg/m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，根据本项目燃气锅炉废气执行《锅炉大气污染物排放标准》（DB14/1929-2019）中颗粒物≤5mg/m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，因此本次评价颗粒物排放量计算过程中采用排放浓度为5mg/m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进行核算，则本项目颗粒物排放量为0.099t/a，排放速率为0.02kg/h。</w:t>
            </w:r>
          </w:p>
          <w:p w14:paraId="0CFA96B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cs="Times New Roman"/>
                <w:color w:val="auto"/>
                <w:sz w:val="24"/>
                <w:highlight w:val="none"/>
                <w:vertAlign w:val="baseline"/>
                <w:lang w:val="en-US" w:eastAsia="zh-CN"/>
              </w:rPr>
            </w:pPr>
            <w:r>
              <w:rPr>
                <w:rFonts w:hint="eastAsia" w:cs="Times New Roman"/>
                <w:color w:val="auto"/>
                <w:sz w:val="24"/>
                <w:highlight w:val="none"/>
                <w:vertAlign w:val="baseline"/>
                <w:lang w:val="en-US" w:eastAsia="zh-CN"/>
              </w:rPr>
              <w:t>（3）二氧化硫排放量</w:t>
            </w:r>
          </w:p>
          <w:p w14:paraId="3C92C20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w:t>
            </w:r>
            <w:r>
              <w:rPr>
                <w:rFonts w:hint="eastAsia" w:cs="Times New Roman"/>
                <w:color w:val="auto"/>
                <w:sz w:val="24"/>
                <w:highlight w:val="none"/>
                <w:lang w:val="en-US" w:eastAsia="zh-CN"/>
              </w:rPr>
              <w:t>《污染源源强核算技术指南 锅炉》（HJ991-2018）中物料衡算法进行核算。</w:t>
            </w:r>
          </w:p>
          <w:p w14:paraId="1307C815">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cs="Times New Roman"/>
                <w:color w:val="auto"/>
                <w:sz w:val="24"/>
                <w:highlight w:val="none"/>
                <w:vertAlign w:val="baseline"/>
                <w:lang w:val="en-US" w:eastAsia="zh-CN"/>
              </w:rPr>
            </w:pPr>
            <w:r>
              <w:rPr>
                <w:rFonts w:hint="eastAsia" w:cs="Times New Roman"/>
                <w:color w:val="auto"/>
                <w:sz w:val="24"/>
                <w:highlight w:val="none"/>
                <w:vertAlign w:val="baseline"/>
                <w:lang w:val="en-US" w:eastAsia="zh-CN"/>
              </w:rPr>
              <w:t>Eso</w:t>
            </w:r>
            <w:r>
              <w:rPr>
                <w:rFonts w:hint="eastAsia" w:cs="Times New Roman"/>
                <w:color w:val="auto"/>
                <w:sz w:val="24"/>
                <w:highlight w:val="none"/>
                <w:vertAlign w:val="subscript"/>
                <w:lang w:val="en-US" w:eastAsia="zh-CN"/>
              </w:rPr>
              <w:t>2</w:t>
            </w:r>
            <w:r>
              <w:rPr>
                <w:rFonts w:hint="eastAsia" w:cs="Times New Roman"/>
                <w:color w:val="auto"/>
                <w:sz w:val="24"/>
                <w:highlight w:val="none"/>
                <w:vertAlign w:val="baseline"/>
                <w:lang w:val="en-US" w:eastAsia="zh-CN"/>
              </w:rPr>
              <w:t>=2R×S</w:t>
            </w:r>
            <w:r>
              <w:rPr>
                <w:rFonts w:hint="eastAsia" w:cs="Times New Roman"/>
                <w:color w:val="auto"/>
                <w:sz w:val="24"/>
                <w:highlight w:val="none"/>
                <w:vertAlign w:val="subscript"/>
                <w:lang w:val="en-US" w:eastAsia="zh-CN"/>
              </w:rPr>
              <w:t>t</w:t>
            </w:r>
            <w:r>
              <w:rPr>
                <w:rFonts w:hint="eastAsia" w:cs="Times New Roman"/>
                <w:color w:val="auto"/>
                <w:sz w:val="24"/>
                <w:highlight w:val="none"/>
                <w:vertAlign w:val="baseline"/>
                <w:lang w:val="en-US" w:eastAsia="zh-CN"/>
              </w:rPr>
              <w:t>×（1-</w:t>
            </w:r>
            <w:r>
              <w:rPr>
                <w:rFonts w:hint="default" w:ascii="Times New Roman" w:hAnsi="Times New Roman" w:cs="Times New Roman"/>
                <w:color w:val="auto"/>
                <w:sz w:val="24"/>
                <w:highlight w:val="none"/>
                <w:vertAlign w:val="baseline"/>
                <w:lang w:val="en-US" w:eastAsia="zh-CN"/>
              </w:rPr>
              <w:t>η</w:t>
            </w:r>
            <w:r>
              <w:rPr>
                <w:rFonts w:hint="eastAsia" w:cs="Times New Roman"/>
                <w:color w:val="auto"/>
                <w:sz w:val="24"/>
                <w:highlight w:val="none"/>
                <w:vertAlign w:val="baseline"/>
                <w:lang w:val="en-US" w:eastAsia="zh-CN"/>
              </w:rPr>
              <w:t>/100）×K×10</w:t>
            </w:r>
            <w:r>
              <w:rPr>
                <w:rFonts w:hint="eastAsia" w:cs="Times New Roman"/>
                <w:color w:val="auto"/>
                <w:sz w:val="24"/>
                <w:highlight w:val="none"/>
                <w:vertAlign w:val="superscript"/>
                <w:lang w:val="en-US" w:eastAsia="zh-CN"/>
              </w:rPr>
              <w:t>-5</w:t>
            </w:r>
          </w:p>
          <w:p w14:paraId="7127B52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式中：E</w:t>
            </w:r>
            <w:r>
              <w:rPr>
                <w:rFonts w:hint="eastAsia" w:ascii="Times New Roman" w:hAnsi="Times New Roman" w:eastAsia="宋体" w:cs="Times New Roman"/>
                <w:color w:val="auto"/>
                <w:kern w:val="2"/>
                <w:sz w:val="24"/>
                <w:szCs w:val="24"/>
                <w:highlight w:val="none"/>
                <w:lang w:val="en-US" w:eastAsia="zh-CN" w:bidi="ar-SA"/>
              </w:rPr>
              <w:t>so</w:t>
            </w:r>
            <w:r>
              <w:rPr>
                <w:rFonts w:hint="eastAsia" w:ascii="Times New Roman" w:hAnsi="Times New Roman" w:eastAsia="宋体" w:cs="Times New Roman"/>
                <w:color w:val="auto"/>
                <w:kern w:val="2"/>
                <w:sz w:val="24"/>
                <w:szCs w:val="24"/>
                <w:highlight w:val="none"/>
                <w:vertAlign w:val="subscript"/>
                <w:lang w:val="en-US" w:eastAsia="zh-CN" w:bidi="ar-SA"/>
              </w:rPr>
              <w:t>2</w:t>
            </w:r>
            <w:r>
              <w:rPr>
                <w:rFonts w:hint="eastAsia" w:cs="Times New Roman"/>
                <w:color w:val="auto"/>
                <w:sz w:val="24"/>
                <w:highlight w:val="none"/>
                <w:lang w:val="en-US" w:eastAsia="zh-CN"/>
              </w:rPr>
              <w:t>——核算时段内二氧化硫排放量，t；</w:t>
            </w:r>
          </w:p>
          <w:p w14:paraId="660615AF">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jc w:val="both"/>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R——核算时段内锅炉燃料耗量，万m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；本项目燃气使用量为211.68万m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/a；</w:t>
            </w:r>
          </w:p>
          <w:p w14:paraId="1352D92A">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jc w:val="both"/>
              <w:textAlignment w:val="auto"/>
              <w:rPr>
                <w:rFonts w:hint="default" w:cs="Times New Roman"/>
                <w:color w:val="auto"/>
                <w:sz w:val="24"/>
                <w:highlight w:val="none"/>
                <w:vertAlign w:val="baseline"/>
                <w:lang w:val="en-US" w:eastAsia="zh-CN"/>
              </w:rPr>
            </w:pPr>
            <w:r>
              <w:rPr>
                <w:rFonts w:hint="eastAsia" w:cs="Times New Roman"/>
                <w:color w:val="auto"/>
                <w:sz w:val="24"/>
                <w:highlight w:val="none"/>
                <w:lang w:val="en-US" w:eastAsia="zh-CN"/>
              </w:rPr>
              <w:t>St——燃料总硫的质量浓度，mg/m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；本项目使用燃气总硫含量为3.8</w:t>
            </w:r>
            <w:r>
              <w:rPr>
                <w:rFonts w:hint="eastAsia" w:cs="Times New Roman"/>
                <w:color w:val="auto"/>
                <w:sz w:val="24"/>
                <w:highlight w:val="none"/>
                <w:lang w:val="en-US" w:eastAsia="zh-CN"/>
              </w:rPr>
              <w:t>mg/m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w:t>
            </w:r>
          </w:p>
          <w:p w14:paraId="0F9FC2B5">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jc w:val="both"/>
              <w:textAlignment w:val="auto"/>
              <w:rPr>
                <w:rFonts w:hint="eastAsia" w:cs="Times New Roman"/>
                <w:color w:val="auto"/>
                <w:sz w:val="24"/>
                <w:highlight w:val="none"/>
                <w:lang w:val="en-US" w:eastAsia="zh-CN"/>
              </w:rPr>
            </w:pPr>
            <w:r>
              <w:rPr>
                <w:rFonts w:hint="default" w:ascii="Times New Roman" w:hAnsi="Times New Roman" w:cs="Times New Roman"/>
                <w:color w:val="auto"/>
                <w:sz w:val="24"/>
                <w:highlight w:val="none"/>
                <w:lang w:val="en-US" w:eastAsia="zh-CN"/>
              </w:rPr>
              <w:t>η</w:t>
            </w:r>
            <w:r>
              <w:rPr>
                <w:rFonts w:hint="eastAsia" w:ascii="Times New Roman" w:hAnsi="Times New Roman" w:cs="Times New Roman"/>
                <w:color w:val="auto"/>
                <w:sz w:val="24"/>
                <w:highlight w:val="none"/>
                <w:lang w:val="en-US" w:eastAsia="zh-CN"/>
              </w:rPr>
              <w:t>——</w:t>
            </w:r>
            <w:r>
              <w:rPr>
                <w:rFonts w:hint="eastAsia" w:cs="Times New Roman"/>
                <w:color w:val="auto"/>
                <w:sz w:val="24"/>
                <w:highlight w:val="none"/>
                <w:lang w:val="en-US" w:eastAsia="zh-CN"/>
              </w:rPr>
              <w:t>脱硫</w:t>
            </w:r>
            <w:r>
              <w:rPr>
                <w:rFonts w:hint="eastAsia" w:ascii="Times New Roman" w:hAnsi="Times New Roman" w:cs="Times New Roman"/>
                <w:color w:val="auto"/>
                <w:sz w:val="24"/>
                <w:highlight w:val="none"/>
                <w:lang w:val="en-US" w:eastAsia="zh-CN"/>
              </w:rPr>
              <w:t>效率，%，取0</w:t>
            </w:r>
            <w:r>
              <w:rPr>
                <w:rFonts w:hint="eastAsia" w:cs="Times New Roman"/>
                <w:color w:val="auto"/>
                <w:sz w:val="24"/>
                <w:highlight w:val="none"/>
                <w:lang w:val="en-US" w:eastAsia="zh-CN"/>
              </w:rPr>
              <w:t>；</w:t>
            </w:r>
          </w:p>
          <w:p w14:paraId="50A4FDF0">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jc w:val="both"/>
              <w:textAlignment w:val="auto"/>
              <w:rPr>
                <w:rFonts w:hint="eastAsia" w:ascii="Times New Roman" w:hAnsi="Times New Roman" w:cs="Times New Roman"/>
                <w:color w:val="auto"/>
                <w:sz w:val="24"/>
                <w:highlight w:val="yellow"/>
                <w:lang w:val="en-US" w:eastAsia="zh-CN"/>
              </w:rPr>
            </w:pPr>
            <w:r>
              <w:rPr>
                <w:rFonts w:hint="eastAsia" w:cs="Times New Roman"/>
                <w:color w:val="auto"/>
                <w:sz w:val="24"/>
                <w:highlight w:val="none"/>
                <w:lang w:val="en-US" w:eastAsia="zh-CN"/>
              </w:rPr>
              <w:t>K——燃料中的硫燃烧后氧化成二氧化硫的份额，取值1.0</w:t>
            </w:r>
            <w:r>
              <w:rPr>
                <w:rFonts w:hint="eastAsia" w:ascii="Times New Roman" w:hAnsi="Times New Roman" w:cs="Times New Roman"/>
                <w:color w:val="auto"/>
                <w:sz w:val="24"/>
                <w:highlight w:val="none"/>
                <w:lang w:val="en-US" w:eastAsia="zh-CN"/>
              </w:rPr>
              <w:t>。</w:t>
            </w:r>
          </w:p>
          <w:p w14:paraId="42712AE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cs="Times New Roman"/>
                <w:color w:val="auto"/>
                <w:sz w:val="24"/>
                <w:highlight w:val="none"/>
                <w:vertAlign w:val="baseline"/>
                <w:lang w:val="en-US" w:eastAsia="zh-CN"/>
              </w:rPr>
            </w:pPr>
            <w:r>
              <w:rPr>
                <w:rFonts w:hint="eastAsia" w:cs="Times New Roman"/>
                <w:color w:val="auto"/>
                <w:sz w:val="24"/>
                <w:highlight w:val="none"/>
                <w:lang w:val="en-US" w:eastAsia="zh-CN"/>
              </w:rPr>
              <w:t>经计算，本项目锅炉SO</w:t>
            </w:r>
            <w:r>
              <w:rPr>
                <w:rFonts w:hint="eastAsia" w:cs="Times New Roman"/>
                <w:color w:val="auto"/>
                <w:sz w:val="24"/>
                <w:highlight w:val="none"/>
                <w:vertAlign w:val="subscript"/>
                <w:lang w:val="en-US" w:eastAsia="zh-CN"/>
              </w:rPr>
              <w:t>2</w:t>
            </w:r>
            <w:r>
              <w:rPr>
                <w:rFonts w:hint="eastAsia" w:cs="Times New Roman"/>
                <w:color w:val="auto"/>
                <w:sz w:val="24"/>
                <w:highlight w:val="none"/>
                <w:lang w:val="en-US" w:eastAsia="zh-CN"/>
              </w:rPr>
              <w:t>排放浓度为0.808mg/m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，考虑到二氧化硫检出限为2mg/m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该浓度低于检出限的一半，同时根据2026年3月24日由山西华益检测科技有限公司出具的《山西晋煤集团赵庄煤业有限责任公司自行监测（固定源）》（SXHYJC-2601-054（3））中现有锅炉二氧化硫的监测数据均为未检出，因此本项目二氧化硫排放浓度按检出限的一半，即1mg/m</w:t>
            </w:r>
            <w:r>
              <w:rPr>
                <w:rFonts w:hint="eastAsia" w:cs="Times New Roman"/>
                <w:color w:val="auto"/>
                <w:sz w:val="24"/>
                <w:highlight w:val="none"/>
                <w:vertAlign w:val="superscript"/>
                <w:lang w:val="en-US" w:eastAsia="zh-CN"/>
              </w:rPr>
              <w:t>3</w:t>
            </w:r>
            <w:r>
              <w:rPr>
                <w:rFonts w:hint="eastAsia" w:cs="Times New Roman"/>
                <w:color w:val="auto"/>
                <w:sz w:val="24"/>
                <w:highlight w:val="none"/>
                <w:vertAlign w:val="baseline"/>
                <w:lang w:val="en-US" w:eastAsia="zh-CN"/>
              </w:rPr>
              <w:t>计算，则二氧化硫</w:t>
            </w:r>
            <w:r>
              <w:rPr>
                <w:rFonts w:hint="eastAsia" w:cs="Times New Roman"/>
                <w:color w:val="auto"/>
                <w:sz w:val="24"/>
                <w:highlight w:val="none"/>
                <w:lang w:val="en-US" w:eastAsia="zh-CN"/>
              </w:rPr>
              <w:t>排放速率为0.004kg/h，</w:t>
            </w:r>
            <w:r>
              <w:rPr>
                <w:rFonts w:hint="eastAsia" w:cs="Times New Roman"/>
                <w:color w:val="auto"/>
                <w:sz w:val="24"/>
                <w:highlight w:val="none"/>
                <w:vertAlign w:val="baseline"/>
                <w:lang w:val="en-US" w:eastAsia="zh-CN"/>
              </w:rPr>
              <w:t>排放</w:t>
            </w:r>
            <w:r>
              <w:rPr>
                <w:rFonts w:hint="eastAsia" w:cs="Times New Roman"/>
                <w:color w:val="auto"/>
                <w:sz w:val="24"/>
                <w:highlight w:val="none"/>
                <w:lang w:val="en-US" w:eastAsia="zh-CN"/>
              </w:rPr>
              <w:t>量为0.02t/a。</w:t>
            </w:r>
          </w:p>
          <w:p w14:paraId="302842C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（4）氮氧化物排放量</w:t>
            </w:r>
          </w:p>
          <w:p w14:paraId="2EBF60C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cs="Times New Roman"/>
                <w:color w:val="auto"/>
                <w:sz w:val="24"/>
                <w:highlight w:val="yellow"/>
                <w:lang w:val="en-US" w:eastAsia="zh-CN"/>
              </w:rPr>
            </w:pPr>
            <w:r>
              <w:rPr>
                <w:rFonts w:hint="eastAsia" w:cs="Times New Roman"/>
                <w:color w:val="auto"/>
                <w:sz w:val="24"/>
                <w:highlight w:val="none"/>
                <w:lang w:val="en-US" w:eastAsia="zh-CN"/>
              </w:rPr>
              <w:t>本项目锅炉燃料采用天然气，并采用低氮燃烧+烟气再循环技术，根据《污染源源强核算技术指南 锅炉》中氮氧化物排放量采用锅炉生产商提供的氮氧化物控制保证浓度值或类比同类锅炉氮氧化物浓度值计算，本次核算NOx排放浓度取50mg/m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，则排放量为0.99t/a</w:t>
            </w:r>
            <w:r>
              <w:rPr>
                <w:rFonts w:hint="eastAsia" w:cs="Times New Roman"/>
                <w:color w:val="auto"/>
                <w:sz w:val="24"/>
                <w:highlight w:val="none"/>
                <w:vertAlign w:val="baseline"/>
                <w:lang w:val="en-US" w:eastAsia="zh-CN"/>
              </w:rPr>
              <w:t>，排放速率为0.196kg/h</w:t>
            </w:r>
            <w:r>
              <w:rPr>
                <w:rFonts w:hint="eastAsia" w:cs="Times New Roman"/>
                <w:color w:val="auto"/>
                <w:sz w:val="24"/>
                <w:highlight w:val="none"/>
                <w:lang w:val="en-US" w:eastAsia="zh-CN"/>
              </w:rPr>
              <w:t>。</w:t>
            </w:r>
          </w:p>
          <w:p w14:paraId="384070E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（5）林格曼黑度</w:t>
            </w:r>
          </w:p>
          <w:p w14:paraId="2A52B49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auto"/>
              <w:rPr>
                <w:rFonts w:hint="default" w:cs="Times New Roman"/>
                <w:color w:val="auto"/>
                <w:sz w:val="24"/>
                <w:highlight w:val="none"/>
                <w:lang w:val="en-US" w:eastAsia="zh-CN"/>
              </w:rPr>
            </w:pPr>
            <w:r>
              <w:rPr>
                <w:rFonts w:hint="eastAsia" w:cs="Times New Roman"/>
                <w:color w:val="auto"/>
                <w:sz w:val="24"/>
                <w:highlight w:val="none"/>
                <w:vertAlign w:val="baseline"/>
                <w:lang w:val="en-US" w:eastAsia="zh-CN"/>
              </w:rPr>
              <w:t>本项目使用天然气与现有工程锅炉使用燃气来源相同，属于清洁能源，类比</w:t>
            </w:r>
            <w:r>
              <w:rPr>
                <w:rFonts w:hint="eastAsia" w:cs="Times New Roman"/>
                <w:color w:val="auto"/>
                <w:sz w:val="24"/>
                <w:highlight w:val="none"/>
                <w:lang w:val="en-US" w:eastAsia="zh-CN"/>
              </w:rPr>
              <w:t>现有工程锅炉自行监测数据，天然气经燃烧后锅炉排放口烟气黑度均满足《锅炉大气污染物排放标准》（DB14/1929-2019）中标准限值要求，烟气黑度≤1级。</w:t>
            </w:r>
          </w:p>
          <w:p w14:paraId="0917E255">
            <w:pPr>
              <w:pStyle w:val="22"/>
              <w:keepNext w:val="0"/>
              <w:keepLines w:val="0"/>
              <w:pageBreakBefore w:val="0"/>
              <w:widowControl/>
              <w:kinsoku/>
              <w:wordWrap/>
              <w:overflowPunct/>
              <w:topLinePunct w:val="0"/>
              <w:autoSpaceDE/>
              <w:autoSpaceDN/>
              <w:bidi w:val="0"/>
              <w:adjustRightInd w:val="0"/>
              <w:snapToGrid w:val="0"/>
              <w:spacing w:before="0" w:after="0" w:line="480" w:lineRule="exact"/>
              <w:ind w:left="0" w:leftChars="0" w:right="0" w:firstLine="480" w:firstLineChars="200"/>
              <w:textAlignment w:val="auto"/>
              <w:rPr>
                <w:rFonts w:hint="eastAsia" w:cs="Times New Roman"/>
                <w:color w:val="auto"/>
                <w:kern w:val="0"/>
                <w:sz w:val="24"/>
                <w:szCs w:val="24"/>
                <w:highlight w:val="none"/>
                <w:lang w:val="en-US" w:eastAsia="zh-CN" w:bidi="ar-SA"/>
              </w:rPr>
            </w:pPr>
            <w:r>
              <w:rPr>
                <w:rFonts w:hint="eastAsia" w:cs="Times New Roman"/>
                <w:color w:val="auto"/>
                <w:kern w:val="0"/>
                <w:sz w:val="24"/>
                <w:szCs w:val="24"/>
                <w:highlight w:val="none"/>
                <w:lang w:val="en-US" w:eastAsia="zh-CN" w:bidi="ar-SA"/>
              </w:rPr>
              <w:t>2、废气排放口基本信息</w:t>
            </w:r>
          </w:p>
          <w:p w14:paraId="71113E1B">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rightChars="0"/>
              <w:jc w:val="center"/>
              <w:textAlignment w:val="auto"/>
              <w:outlineLvl w:val="9"/>
              <w:rPr>
                <w:rFonts w:hint="default" w:ascii="Times New Roman" w:hAnsi="Times New Roman" w:eastAsia="黑体" w:cs="Times New Roman"/>
                <w:b w:val="0"/>
                <w:bCs/>
                <w:color w:val="auto"/>
                <w:sz w:val="21"/>
                <w:szCs w:val="16"/>
                <w:highlight w:val="none"/>
                <w:lang w:val="en-US" w:eastAsia="zh-CN"/>
              </w:rPr>
            </w:pPr>
            <w:r>
              <w:rPr>
                <w:rFonts w:hint="default" w:ascii="Times New Roman" w:hAnsi="Times New Roman" w:eastAsia="黑体" w:cs="Times New Roman"/>
                <w:b w:val="0"/>
                <w:bCs/>
                <w:color w:val="auto"/>
                <w:sz w:val="21"/>
                <w:szCs w:val="16"/>
                <w:highlight w:val="none"/>
                <w:lang w:val="en-US" w:eastAsia="zh-CN"/>
              </w:rPr>
              <w:t>表</w:t>
            </w:r>
            <w:r>
              <w:rPr>
                <w:rFonts w:hint="eastAsia" w:ascii="Times New Roman" w:hAnsi="Times New Roman" w:eastAsia="黑体" w:cs="Times New Roman"/>
                <w:b w:val="0"/>
                <w:bCs/>
                <w:color w:val="auto"/>
                <w:sz w:val="21"/>
                <w:szCs w:val="16"/>
                <w:highlight w:val="none"/>
                <w:lang w:val="en-US" w:eastAsia="zh-CN"/>
              </w:rPr>
              <w:t xml:space="preserve">4.5-2  </w:t>
            </w:r>
            <w:r>
              <w:rPr>
                <w:rFonts w:hint="default" w:ascii="Times New Roman" w:hAnsi="Times New Roman" w:eastAsia="黑体" w:cs="Times New Roman"/>
                <w:b w:val="0"/>
                <w:bCs/>
                <w:color w:val="auto"/>
                <w:sz w:val="21"/>
                <w:szCs w:val="16"/>
                <w:highlight w:val="none"/>
                <w:lang w:val="en-US" w:eastAsia="zh-CN"/>
              </w:rPr>
              <w:t>废气</w:t>
            </w:r>
            <w:r>
              <w:rPr>
                <w:rFonts w:hint="eastAsia" w:eastAsia="黑体" w:cs="Times New Roman"/>
                <w:b w:val="0"/>
                <w:bCs/>
                <w:color w:val="auto"/>
                <w:sz w:val="21"/>
                <w:szCs w:val="16"/>
                <w:highlight w:val="none"/>
                <w:lang w:val="en-US" w:eastAsia="zh-CN"/>
              </w:rPr>
              <w:t>污染物排放口基本情况表</w:t>
            </w:r>
          </w:p>
          <w:tbl>
            <w:tblPr>
              <w:tblStyle w:val="25"/>
              <w:tblW w:w="7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1090"/>
              <w:gridCol w:w="1168"/>
              <w:gridCol w:w="779"/>
              <w:gridCol w:w="914"/>
              <w:gridCol w:w="899"/>
              <w:gridCol w:w="914"/>
              <w:gridCol w:w="689"/>
              <w:gridCol w:w="641"/>
            </w:tblGrid>
            <w:tr w14:paraId="55A4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41" w:type="dxa"/>
                  <w:vMerge w:val="restart"/>
                  <w:vAlign w:val="center"/>
                </w:tcPr>
                <w:p w14:paraId="3C818A3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排放口编号</w:t>
                  </w:r>
                </w:p>
              </w:tc>
              <w:tc>
                <w:tcPr>
                  <w:tcW w:w="1090" w:type="dxa"/>
                  <w:vMerge w:val="restart"/>
                  <w:vAlign w:val="center"/>
                </w:tcPr>
                <w:p w14:paraId="13E80BC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排放口名称</w:t>
                  </w:r>
                </w:p>
              </w:tc>
              <w:tc>
                <w:tcPr>
                  <w:tcW w:w="1168" w:type="dxa"/>
                  <w:vMerge w:val="restart"/>
                  <w:vAlign w:val="center"/>
                </w:tcPr>
                <w:p w14:paraId="364B327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污染物种类</w:t>
                  </w:r>
                </w:p>
              </w:tc>
              <w:tc>
                <w:tcPr>
                  <w:tcW w:w="1693" w:type="dxa"/>
                  <w:gridSpan w:val="2"/>
                  <w:vAlign w:val="center"/>
                </w:tcPr>
                <w:p w14:paraId="1EC5A6F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排放口地理坐标</w:t>
                  </w:r>
                </w:p>
              </w:tc>
              <w:tc>
                <w:tcPr>
                  <w:tcW w:w="899" w:type="dxa"/>
                  <w:vMerge w:val="restart"/>
                  <w:vAlign w:val="center"/>
                </w:tcPr>
                <w:p w14:paraId="6192BB7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排气筒高度m</w:t>
                  </w:r>
                </w:p>
              </w:tc>
              <w:tc>
                <w:tcPr>
                  <w:tcW w:w="914" w:type="dxa"/>
                  <w:vMerge w:val="restart"/>
                  <w:vAlign w:val="center"/>
                </w:tcPr>
                <w:p w14:paraId="365EC18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排气筒出口内径m</w:t>
                  </w:r>
                </w:p>
              </w:tc>
              <w:tc>
                <w:tcPr>
                  <w:tcW w:w="689" w:type="dxa"/>
                  <w:vMerge w:val="restart"/>
                  <w:vAlign w:val="center"/>
                </w:tcPr>
                <w:p w14:paraId="3A7AD18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排气温度℃</w:t>
                  </w:r>
                </w:p>
              </w:tc>
              <w:tc>
                <w:tcPr>
                  <w:tcW w:w="641" w:type="dxa"/>
                  <w:vMerge w:val="restart"/>
                  <w:vAlign w:val="center"/>
                </w:tcPr>
                <w:p w14:paraId="73F580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类型</w:t>
                  </w:r>
                </w:p>
              </w:tc>
            </w:tr>
            <w:tr w14:paraId="1B293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841" w:type="dxa"/>
                  <w:vMerge w:val="continue"/>
                  <w:vAlign w:val="center"/>
                </w:tcPr>
                <w:p w14:paraId="7977604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color w:val="auto"/>
                    </w:rPr>
                  </w:pPr>
                </w:p>
              </w:tc>
              <w:tc>
                <w:tcPr>
                  <w:tcW w:w="1090" w:type="dxa"/>
                  <w:vMerge w:val="continue"/>
                  <w:vAlign w:val="center"/>
                </w:tcPr>
                <w:p w14:paraId="230F969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color w:val="auto"/>
                    </w:rPr>
                  </w:pPr>
                </w:p>
              </w:tc>
              <w:tc>
                <w:tcPr>
                  <w:tcW w:w="1168" w:type="dxa"/>
                  <w:vMerge w:val="continue"/>
                  <w:vAlign w:val="center"/>
                </w:tcPr>
                <w:p w14:paraId="2EC083B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color w:val="auto"/>
                    </w:rPr>
                  </w:pPr>
                </w:p>
              </w:tc>
              <w:tc>
                <w:tcPr>
                  <w:tcW w:w="779" w:type="dxa"/>
                  <w:vAlign w:val="center"/>
                </w:tcPr>
                <w:p w14:paraId="3B020AB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经度</w:t>
                  </w:r>
                </w:p>
              </w:tc>
              <w:tc>
                <w:tcPr>
                  <w:tcW w:w="914" w:type="dxa"/>
                  <w:vAlign w:val="center"/>
                </w:tcPr>
                <w:p w14:paraId="098BED4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纬度</w:t>
                  </w:r>
                </w:p>
              </w:tc>
              <w:tc>
                <w:tcPr>
                  <w:tcW w:w="899" w:type="dxa"/>
                  <w:vMerge w:val="continue"/>
                  <w:vAlign w:val="center"/>
                </w:tcPr>
                <w:p w14:paraId="4A746F0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cs="Times New Roman"/>
                      <w:color w:val="auto"/>
                      <w:sz w:val="21"/>
                      <w:szCs w:val="21"/>
                      <w:highlight w:val="none"/>
                      <w:lang w:val="en-US" w:eastAsia="zh-CN"/>
                    </w:rPr>
                  </w:pPr>
                </w:p>
              </w:tc>
              <w:tc>
                <w:tcPr>
                  <w:tcW w:w="914" w:type="dxa"/>
                  <w:vMerge w:val="continue"/>
                  <w:vAlign w:val="center"/>
                </w:tcPr>
                <w:p w14:paraId="5835485B">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cs="Times New Roman"/>
                      <w:color w:val="auto"/>
                      <w:sz w:val="21"/>
                      <w:szCs w:val="21"/>
                      <w:highlight w:val="none"/>
                      <w:lang w:val="en-US" w:eastAsia="zh-CN"/>
                    </w:rPr>
                  </w:pPr>
                </w:p>
              </w:tc>
              <w:tc>
                <w:tcPr>
                  <w:tcW w:w="689" w:type="dxa"/>
                  <w:vMerge w:val="continue"/>
                  <w:vAlign w:val="center"/>
                </w:tcPr>
                <w:p w14:paraId="2A13762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cs="Times New Roman"/>
                      <w:color w:val="auto"/>
                      <w:sz w:val="21"/>
                      <w:szCs w:val="21"/>
                      <w:highlight w:val="none"/>
                      <w:lang w:val="en-US" w:eastAsia="zh-CN"/>
                    </w:rPr>
                  </w:pPr>
                </w:p>
              </w:tc>
              <w:tc>
                <w:tcPr>
                  <w:tcW w:w="641" w:type="dxa"/>
                  <w:vMerge w:val="continue"/>
                  <w:vAlign w:val="center"/>
                </w:tcPr>
                <w:p w14:paraId="3DBCDB65">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cs="Times New Roman"/>
                      <w:color w:val="auto"/>
                      <w:sz w:val="21"/>
                      <w:szCs w:val="21"/>
                      <w:highlight w:val="none"/>
                      <w:lang w:val="en-US" w:eastAsia="zh-CN"/>
                    </w:rPr>
                  </w:pPr>
                </w:p>
              </w:tc>
            </w:tr>
            <w:tr w14:paraId="4B775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trPr>
              <w:tc>
                <w:tcPr>
                  <w:tcW w:w="841" w:type="dxa"/>
                  <w:vAlign w:val="center"/>
                </w:tcPr>
                <w:p w14:paraId="495A05D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DA015</w:t>
                  </w:r>
                </w:p>
              </w:tc>
              <w:tc>
                <w:tcPr>
                  <w:tcW w:w="1090" w:type="dxa"/>
                  <w:vAlign w:val="center"/>
                </w:tcPr>
                <w:p w14:paraId="6BDEF96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工业场地</w:t>
                  </w:r>
                  <w:r>
                    <w:rPr>
                      <w:rFonts w:hint="eastAsia" w:cs="Times New Roman"/>
                      <w:color w:val="auto"/>
                      <w:sz w:val="21"/>
                      <w:szCs w:val="21"/>
                      <w:highlight w:val="none"/>
                      <w:lang w:val="en-US" w:eastAsia="zh-CN"/>
                    </w:rPr>
                    <w:t>3.5MW燃气</w:t>
                  </w:r>
                  <w:r>
                    <w:rPr>
                      <w:rFonts w:hint="default" w:ascii="Times New Roman" w:hAnsi="Times New Roman" w:cs="Times New Roman"/>
                      <w:color w:val="auto"/>
                      <w:sz w:val="21"/>
                      <w:szCs w:val="21"/>
                      <w:highlight w:val="none"/>
                      <w:lang w:val="en-US" w:eastAsia="zh-CN"/>
                    </w:rPr>
                    <w:t>锅炉废气排</w:t>
                  </w:r>
                  <w:r>
                    <w:rPr>
                      <w:rFonts w:hint="eastAsia" w:cs="Times New Roman"/>
                      <w:color w:val="auto"/>
                      <w:sz w:val="21"/>
                      <w:szCs w:val="21"/>
                      <w:highlight w:val="none"/>
                      <w:lang w:val="en-US" w:eastAsia="zh-CN"/>
                    </w:rPr>
                    <w:t>放</w:t>
                  </w:r>
                  <w:r>
                    <w:rPr>
                      <w:rFonts w:hint="default" w:ascii="Times New Roman" w:hAnsi="Times New Roman" w:cs="Times New Roman"/>
                      <w:color w:val="auto"/>
                      <w:sz w:val="21"/>
                      <w:szCs w:val="21"/>
                      <w:highlight w:val="none"/>
                      <w:lang w:val="en-US" w:eastAsia="zh-CN"/>
                    </w:rPr>
                    <w:t>口</w:t>
                  </w:r>
                </w:p>
              </w:tc>
              <w:tc>
                <w:tcPr>
                  <w:tcW w:w="1168" w:type="dxa"/>
                  <w:vAlign w:val="center"/>
                </w:tcPr>
                <w:p w14:paraId="77A42FD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颗粒物、二氧化硫、氮氧化物、</w:t>
                  </w:r>
                  <w:r>
                    <w:rPr>
                      <w:rFonts w:hint="eastAsia" w:cs="Times New Roman"/>
                      <w:color w:val="auto"/>
                      <w:sz w:val="21"/>
                      <w:szCs w:val="21"/>
                      <w:highlight w:val="none"/>
                      <w:lang w:val="en-US" w:eastAsia="zh-CN"/>
                    </w:rPr>
                    <w:t>林格曼黑度</w:t>
                  </w:r>
                </w:p>
              </w:tc>
              <w:tc>
                <w:tcPr>
                  <w:tcW w:w="779" w:type="dxa"/>
                  <w:vAlign w:val="center"/>
                </w:tcPr>
                <w:p w14:paraId="75E5682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112°53′20.17380″</w:t>
                  </w:r>
                </w:p>
              </w:tc>
              <w:tc>
                <w:tcPr>
                  <w:tcW w:w="914" w:type="dxa"/>
                  <w:vAlign w:val="center"/>
                </w:tcPr>
                <w:p w14:paraId="76BB547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35°59′38.41992″</w:t>
                  </w:r>
                </w:p>
              </w:tc>
              <w:tc>
                <w:tcPr>
                  <w:tcW w:w="899" w:type="dxa"/>
                  <w:vAlign w:val="center"/>
                </w:tcPr>
                <w:p w14:paraId="66667BF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22</w:t>
                  </w:r>
                </w:p>
              </w:tc>
              <w:tc>
                <w:tcPr>
                  <w:tcW w:w="914" w:type="dxa"/>
                  <w:vAlign w:val="center"/>
                </w:tcPr>
                <w:p w14:paraId="5F9EBE22">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0.3</w:t>
                  </w:r>
                </w:p>
              </w:tc>
              <w:tc>
                <w:tcPr>
                  <w:tcW w:w="689" w:type="dxa"/>
                  <w:vAlign w:val="center"/>
                </w:tcPr>
                <w:p w14:paraId="3CFCA44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90</w:t>
                  </w:r>
                </w:p>
              </w:tc>
              <w:tc>
                <w:tcPr>
                  <w:tcW w:w="641" w:type="dxa"/>
                  <w:vAlign w:val="center"/>
                </w:tcPr>
                <w:p w14:paraId="7087871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一般排放口</w:t>
                  </w:r>
                </w:p>
              </w:tc>
            </w:tr>
          </w:tbl>
          <w:p w14:paraId="06D93D90">
            <w:pPr>
              <w:pStyle w:val="22"/>
              <w:keepNext w:val="0"/>
              <w:keepLines w:val="0"/>
              <w:pageBreakBefore w:val="0"/>
              <w:widowControl/>
              <w:kinsoku/>
              <w:wordWrap/>
              <w:overflowPunct/>
              <w:topLinePunct w:val="0"/>
              <w:autoSpaceDE/>
              <w:autoSpaceDN/>
              <w:bidi w:val="0"/>
              <w:adjustRightInd w:val="0"/>
              <w:snapToGrid w:val="0"/>
              <w:spacing w:before="0" w:after="0" w:line="480" w:lineRule="exact"/>
              <w:ind w:left="0" w:leftChars="0" w:right="0" w:firstLine="480" w:firstLineChars="200"/>
              <w:textAlignment w:val="auto"/>
              <w:rPr>
                <w:rFonts w:hint="eastAsia" w:cs="Times New Roman"/>
                <w:color w:val="auto"/>
                <w:kern w:val="0"/>
                <w:sz w:val="24"/>
                <w:szCs w:val="24"/>
                <w:highlight w:val="none"/>
                <w:lang w:val="en-US" w:eastAsia="zh-CN" w:bidi="ar-SA"/>
              </w:rPr>
            </w:pPr>
            <w:r>
              <w:rPr>
                <w:rFonts w:hint="eastAsia" w:cs="Times New Roman"/>
                <w:color w:val="auto"/>
                <w:kern w:val="0"/>
                <w:sz w:val="24"/>
                <w:szCs w:val="24"/>
                <w:highlight w:val="none"/>
                <w:lang w:val="en-US" w:eastAsia="zh-CN" w:bidi="ar-SA"/>
              </w:rPr>
              <w:t>3、非正常工况</w:t>
            </w:r>
          </w:p>
          <w:p w14:paraId="384DE8D4">
            <w:pPr>
              <w:pStyle w:val="22"/>
              <w:keepNext w:val="0"/>
              <w:keepLines w:val="0"/>
              <w:pageBreakBefore w:val="0"/>
              <w:widowControl/>
              <w:kinsoku/>
              <w:wordWrap/>
              <w:overflowPunct/>
              <w:topLinePunct w:val="0"/>
              <w:autoSpaceDE/>
              <w:autoSpaceDN/>
              <w:bidi w:val="0"/>
              <w:adjustRightInd w:val="0"/>
              <w:snapToGrid w:val="0"/>
              <w:spacing w:before="0" w:after="0" w:line="480" w:lineRule="exact"/>
              <w:ind w:left="0" w:leftChars="0" w:right="0" w:firstLine="480" w:firstLineChars="200"/>
              <w:textAlignment w:val="auto"/>
              <w:rPr>
                <w:rFonts w:hint="default" w:ascii="Times New Roman" w:hAnsi="Times New Roman" w:cs="Times New Roman"/>
                <w:color w:val="auto"/>
                <w:kern w:val="0"/>
                <w:sz w:val="24"/>
                <w:szCs w:val="24"/>
                <w:highlight w:val="none"/>
                <w:lang w:val="en-US" w:eastAsia="zh-CN" w:bidi="ar-SA"/>
              </w:rPr>
            </w:pPr>
            <w:r>
              <w:rPr>
                <w:rFonts w:hint="eastAsia" w:cs="Times New Roman"/>
                <w:color w:val="auto"/>
                <w:kern w:val="0"/>
                <w:sz w:val="24"/>
                <w:szCs w:val="24"/>
                <w:highlight w:val="none"/>
                <w:lang w:val="en-US" w:eastAsia="zh-CN" w:bidi="ar-SA"/>
              </w:rPr>
              <w:t>本项目非正常工况为环保设施故障引发的污染物非正常排放，当环保设施故障时，应立即对环保设施进行维修，防止污染物大量产生。</w:t>
            </w:r>
          </w:p>
          <w:p w14:paraId="2489158A">
            <w:pPr>
              <w:pStyle w:val="22"/>
              <w:keepNext w:val="0"/>
              <w:keepLines w:val="0"/>
              <w:pageBreakBefore w:val="0"/>
              <w:widowControl/>
              <w:kinsoku/>
              <w:wordWrap/>
              <w:overflowPunct/>
              <w:topLinePunct w:val="0"/>
              <w:autoSpaceDE/>
              <w:autoSpaceDN/>
              <w:bidi w:val="0"/>
              <w:adjustRightInd w:val="0"/>
              <w:snapToGrid w:val="0"/>
              <w:spacing w:before="0" w:after="0" w:line="480" w:lineRule="exact"/>
              <w:ind w:left="0" w:leftChars="0" w:right="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eastAsia" w:cs="Times New Roman"/>
                <w:color w:val="auto"/>
                <w:kern w:val="0"/>
                <w:sz w:val="24"/>
                <w:szCs w:val="24"/>
                <w:highlight w:val="none"/>
                <w:lang w:val="en-US" w:eastAsia="zh-CN" w:bidi="ar-SA"/>
              </w:rPr>
              <w:t>4</w:t>
            </w:r>
            <w:r>
              <w:rPr>
                <w:rFonts w:hint="default" w:ascii="Times New Roman" w:hAnsi="Times New Roman" w:eastAsia="宋体" w:cs="Times New Roman"/>
                <w:color w:val="auto"/>
                <w:kern w:val="0"/>
                <w:sz w:val="24"/>
                <w:szCs w:val="24"/>
                <w:highlight w:val="none"/>
                <w:lang w:val="en-US" w:eastAsia="zh-CN" w:bidi="ar-SA"/>
              </w:rPr>
              <w:t>、废气监测计划</w:t>
            </w:r>
          </w:p>
          <w:p w14:paraId="191A001C">
            <w:pPr>
              <w:pStyle w:val="22"/>
              <w:keepNext w:val="0"/>
              <w:keepLines w:val="0"/>
              <w:pageBreakBefore w:val="0"/>
              <w:widowControl/>
              <w:kinsoku/>
              <w:wordWrap/>
              <w:overflowPunct/>
              <w:topLinePunct w:val="0"/>
              <w:autoSpaceDE/>
              <w:autoSpaceDN/>
              <w:bidi w:val="0"/>
              <w:adjustRightInd w:val="0"/>
              <w:snapToGrid w:val="0"/>
              <w:spacing w:before="0" w:after="0" w:line="480" w:lineRule="exact"/>
              <w:ind w:left="0" w:leftChars="0" w:right="0" w:firstLine="480" w:firstLineChars="200"/>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根据《排污单位自行监测技术指南</w:t>
            </w:r>
            <w:r>
              <w:rPr>
                <w:rFonts w:hint="eastAsia" w:ascii="Times New Roman" w:hAnsi="Times New Roman" w:eastAsia="宋体" w:cs="Times New Roman"/>
                <w:color w:val="auto"/>
                <w:kern w:val="0"/>
                <w:sz w:val="24"/>
                <w:szCs w:val="24"/>
                <w:highlight w:val="none"/>
                <w:lang w:val="en-US" w:eastAsia="zh-CN" w:bidi="ar-SA"/>
              </w:rPr>
              <w:t xml:space="preserve"> </w:t>
            </w:r>
            <w:r>
              <w:rPr>
                <w:rFonts w:hint="eastAsia" w:cs="Times New Roman"/>
                <w:color w:val="auto"/>
                <w:kern w:val="0"/>
                <w:sz w:val="24"/>
                <w:szCs w:val="24"/>
                <w:highlight w:val="none"/>
                <w:lang w:val="en-US" w:eastAsia="zh-CN" w:bidi="ar-SA"/>
              </w:rPr>
              <w:t>火力发电及锅炉</w:t>
            </w:r>
            <w:r>
              <w:rPr>
                <w:rFonts w:hint="default" w:ascii="Times New Roman" w:hAnsi="Times New Roman" w:eastAsia="宋体" w:cs="Times New Roman"/>
                <w:color w:val="auto"/>
                <w:kern w:val="0"/>
                <w:sz w:val="24"/>
                <w:szCs w:val="24"/>
                <w:highlight w:val="none"/>
                <w:lang w:val="en-US" w:eastAsia="zh-CN" w:bidi="ar-SA"/>
              </w:rPr>
              <w:t>》（HJ8</w:t>
            </w:r>
            <w:r>
              <w:rPr>
                <w:rFonts w:hint="eastAsia" w:cs="Times New Roman"/>
                <w:color w:val="auto"/>
                <w:kern w:val="0"/>
                <w:sz w:val="24"/>
                <w:szCs w:val="24"/>
                <w:highlight w:val="none"/>
                <w:lang w:val="en-US" w:eastAsia="zh-CN" w:bidi="ar-SA"/>
              </w:rPr>
              <w:t>20</w:t>
            </w:r>
            <w:r>
              <w:rPr>
                <w:rFonts w:hint="default" w:ascii="Times New Roman" w:hAnsi="Times New Roman" w:eastAsia="宋体" w:cs="Times New Roman"/>
                <w:color w:val="auto"/>
                <w:kern w:val="0"/>
                <w:sz w:val="24"/>
                <w:szCs w:val="24"/>
                <w:highlight w:val="none"/>
                <w:lang w:val="en-US" w:eastAsia="zh-CN" w:bidi="ar-SA"/>
              </w:rPr>
              <w:t>-2017），制定了本项目的废气监测计划，具体见</w:t>
            </w:r>
            <w:r>
              <w:rPr>
                <w:rFonts w:hint="eastAsia" w:ascii="Times New Roman" w:hAnsi="Times New Roman" w:eastAsia="宋体" w:cs="Times New Roman"/>
                <w:color w:val="auto"/>
                <w:kern w:val="0"/>
                <w:sz w:val="24"/>
                <w:szCs w:val="24"/>
                <w:highlight w:val="none"/>
                <w:lang w:val="en-US" w:eastAsia="zh-CN" w:bidi="ar-SA"/>
              </w:rPr>
              <w:t>下</w:t>
            </w:r>
            <w:r>
              <w:rPr>
                <w:rFonts w:hint="default" w:ascii="Times New Roman" w:hAnsi="Times New Roman" w:eastAsia="宋体" w:cs="Times New Roman"/>
                <w:color w:val="auto"/>
                <w:kern w:val="0"/>
                <w:sz w:val="24"/>
                <w:szCs w:val="24"/>
                <w:highlight w:val="none"/>
                <w:lang w:val="en-US" w:eastAsia="zh-CN" w:bidi="ar-SA"/>
              </w:rPr>
              <w:t>表。</w:t>
            </w:r>
          </w:p>
          <w:p w14:paraId="752A1226">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rightChars="0"/>
              <w:jc w:val="center"/>
              <w:textAlignment w:val="auto"/>
              <w:outlineLvl w:val="9"/>
              <w:rPr>
                <w:rFonts w:hint="default" w:ascii="Times New Roman" w:hAnsi="Times New Roman" w:eastAsia="黑体" w:cs="Times New Roman"/>
                <w:b w:val="0"/>
                <w:bCs/>
                <w:color w:val="auto"/>
                <w:sz w:val="21"/>
                <w:szCs w:val="16"/>
                <w:highlight w:val="none"/>
                <w:lang w:val="en-US" w:eastAsia="zh-CN"/>
              </w:rPr>
            </w:pPr>
            <w:r>
              <w:rPr>
                <w:rFonts w:hint="default" w:ascii="Times New Roman" w:hAnsi="Times New Roman" w:eastAsia="黑体" w:cs="Times New Roman"/>
                <w:b w:val="0"/>
                <w:bCs/>
                <w:color w:val="auto"/>
                <w:sz w:val="21"/>
                <w:szCs w:val="16"/>
                <w:highlight w:val="none"/>
                <w:lang w:val="en-US" w:eastAsia="zh-CN"/>
              </w:rPr>
              <w:t>表</w:t>
            </w:r>
            <w:r>
              <w:rPr>
                <w:rFonts w:hint="eastAsia" w:ascii="Times New Roman" w:hAnsi="Times New Roman" w:eastAsia="黑体" w:cs="Times New Roman"/>
                <w:b w:val="0"/>
                <w:bCs/>
                <w:color w:val="auto"/>
                <w:sz w:val="21"/>
                <w:szCs w:val="16"/>
                <w:highlight w:val="none"/>
                <w:lang w:val="en-US" w:eastAsia="zh-CN"/>
              </w:rPr>
              <w:t>4.5-</w:t>
            </w:r>
            <w:r>
              <w:rPr>
                <w:rFonts w:hint="eastAsia" w:eastAsia="黑体" w:cs="Times New Roman"/>
                <w:b w:val="0"/>
                <w:bCs/>
                <w:color w:val="auto"/>
                <w:sz w:val="21"/>
                <w:szCs w:val="16"/>
                <w:highlight w:val="none"/>
                <w:lang w:val="en-US" w:eastAsia="zh-CN"/>
              </w:rPr>
              <w:t>3</w:t>
            </w:r>
            <w:r>
              <w:rPr>
                <w:rFonts w:hint="eastAsia" w:ascii="Times New Roman" w:hAnsi="Times New Roman" w:eastAsia="黑体" w:cs="Times New Roman"/>
                <w:b w:val="0"/>
                <w:bCs/>
                <w:color w:val="auto"/>
                <w:sz w:val="21"/>
                <w:szCs w:val="16"/>
                <w:highlight w:val="none"/>
                <w:lang w:val="en-US" w:eastAsia="zh-CN"/>
              </w:rPr>
              <w:t xml:space="preserve">  </w:t>
            </w:r>
            <w:r>
              <w:rPr>
                <w:rFonts w:hint="default" w:ascii="Times New Roman" w:hAnsi="Times New Roman" w:eastAsia="黑体" w:cs="Times New Roman"/>
                <w:b w:val="0"/>
                <w:bCs/>
                <w:color w:val="auto"/>
                <w:sz w:val="21"/>
                <w:szCs w:val="16"/>
                <w:highlight w:val="none"/>
                <w:lang w:val="en-US" w:eastAsia="zh-CN"/>
              </w:rPr>
              <w:t>废气自行监测及记录信息表</w:t>
            </w:r>
          </w:p>
          <w:tbl>
            <w:tblPr>
              <w:tblStyle w:val="24"/>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1752"/>
              <w:gridCol w:w="1801"/>
              <w:gridCol w:w="1454"/>
              <w:gridCol w:w="2028"/>
            </w:tblGrid>
            <w:tr w14:paraId="5430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557" w:type="pct"/>
                  <w:noWrap w:val="0"/>
                  <w:vAlign w:val="center"/>
                </w:tcPr>
                <w:p w14:paraId="03BDDEF0">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类型</w:t>
                  </w:r>
                </w:p>
              </w:tc>
              <w:tc>
                <w:tcPr>
                  <w:tcW w:w="1106" w:type="pct"/>
                  <w:noWrap w:val="0"/>
                  <w:vAlign w:val="center"/>
                </w:tcPr>
                <w:p w14:paraId="5A70776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监测</w:t>
                  </w:r>
                  <w:r>
                    <w:rPr>
                      <w:rFonts w:hint="default" w:ascii="Times New Roman" w:hAnsi="Times New Roman" w:cs="Times New Roman"/>
                      <w:color w:val="auto"/>
                      <w:sz w:val="21"/>
                      <w:szCs w:val="21"/>
                      <w:highlight w:val="none"/>
                    </w:rPr>
                    <w:t>点位</w:t>
                  </w:r>
                </w:p>
              </w:tc>
              <w:tc>
                <w:tcPr>
                  <w:tcW w:w="1137" w:type="pct"/>
                  <w:noWrap w:val="0"/>
                  <w:vAlign w:val="center"/>
                </w:tcPr>
                <w:p w14:paraId="238492B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监测</w:t>
                  </w:r>
                  <w:r>
                    <w:rPr>
                      <w:rFonts w:hint="default" w:ascii="Times New Roman" w:hAnsi="Times New Roman" w:cs="Times New Roman"/>
                      <w:color w:val="auto"/>
                      <w:sz w:val="21"/>
                      <w:szCs w:val="21"/>
                      <w:highlight w:val="none"/>
                    </w:rPr>
                    <w:t>因子</w:t>
                  </w:r>
                </w:p>
              </w:tc>
              <w:tc>
                <w:tcPr>
                  <w:tcW w:w="918" w:type="pct"/>
                  <w:noWrap w:val="0"/>
                  <w:vAlign w:val="center"/>
                </w:tcPr>
                <w:p w14:paraId="70D2E6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监测</w:t>
                  </w:r>
                  <w:r>
                    <w:rPr>
                      <w:rFonts w:hint="default" w:ascii="Times New Roman" w:hAnsi="Times New Roman" w:cs="Times New Roman"/>
                      <w:color w:val="auto"/>
                      <w:sz w:val="21"/>
                      <w:szCs w:val="21"/>
                      <w:highlight w:val="none"/>
                    </w:rPr>
                    <w:t>频次</w:t>
                  </w:r>
                </w:p>
              </w:tc>
              <w:tc>
                <w:tcPr>
                  <w:tcW w:w="1280" w:type="pct"/>
                  <w:noWrap w:val="0"/>
                  <w:vAlign w:val="center"/>
                </w:tcPr>
                <w:p w14:paraId="22ED20CF">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监测机构</w:t>
                  </w:r>
                </w:p>
              </w:tc>
            </w:tr>
            <w:tr w14:paraId="759A8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557" w:type="pct"/>
                  <w:vMerge w:val="restart"/>
                  <w:noWrap w:val="0"/>
                  <w:vAlign w:val="center"/>
                </w:tcPr>
                <w:p w14:paraId="2694081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有组织</w:t>
                  </w:r>
                </w:p>
              </w:tc>
              <w:tc>
                <w:tcPr>
                  <w:tcW w:w="1106" w:type="pct"/>
                  <w:vMerge w:val="restart"/>
                  <w:noWrap w:val="0"/>
                  <w:vAlign w:val="center"/>
                </w:tcPr>
                <w:p w14:paraId="35B5D7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排气筒上</w:t>
                  </w:r>
                </w:p>
              </w:tc>
              <w:tc>
                <w:tcPr>
                  <w:tcW w:w="1137" w:type="pct"/>
                  <w:noWrap w:val="0"/>
                  <w:vAlign w:val="center"/>
                </w:tcPr>
                <w:p w14:paraId="6BDCF66A">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颗粒物</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二氧化硫、林格曼黑度</w:t>
                  </w:r>
                </w:p>
              </w:tc>
              <w:tc>
                <w:tcPr>
                  <w:tcW w:w="918" w:type="pct"/>
                  <w:noWrap w:val="0"/>
                  <w:vAlign w:val="center"/>
                </w:tcPr>
                <w:p w14:paraId="66E3EC9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1次/</w:t>
                  </w:r>
                  <w:r>
                    <w:rPr>
                      <w:rFonts w:hint="eastAsia" w:cs="Times New Roman"/>
                      <w:color w:val="auto"/>
                      <w:sz w:val="21"/>
                      <w:szCs w:val="21"/>
                      <w:highlight w:val="none"/>
                      <w:lang w:val="en-US" w:eastAsia="zh-CN"/>
                    </w:rPr>
                    <w:t>年</w:t>
                  </w:r>
                </w:p>
              </w:tc>
              <w:tc>
                <w:tcPr>
                  <w:tcW w:w="1280" w:type="pct"/>
                  <w:vMerge w:val="restart"/>
                  <w:noWrap w:val="0"/>
                  <w:vAlign w:val="center"/>
                </w:tcPr>
                <w:p w14:paraId="3AD07116">
                  <w:pPr>
                    <w:pStyle w:val="84"/>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zh-TW" w:eastAsia="zh-TW" w:bidi="zh-TW"/>
                    </w:rPr>
                  </w:pPr>
                  <w:r>
                    <w:rPr>
                      <w:rFonts w:hint="default" w:ascii="Times New Roman" w:hAnsi="Times New Roman" w:eastAsia="宋体" w:cs="Times New Roman"/>
                      <w:color w:val="auto"/>
                      <w:kern w:val="2"/>
                      <w:sz w:val="21"/>
                      <w:szCs w:val="21"/>
                      <w:lang w:val="zh-TW" w:eastAsia="zh-TW" w:bidi="zh-TW"/>
                    </w:rPr>
                    <w:t>委托有资质的监测机构</w:t>
                  </w:r>
                </w:p>
              </w:tc>
            </w:tr>
            <w:tr w14:paraId="157A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557" w:type="pct"/>
                  <w:vMerge w:val="continue"/>
                  <w:noWrap w:val="0"/>
                  <w:vAlign w:val="center"/>
                </w:tcPr>
                <w:p w14:paraId="64544F79">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cs="Times New Roman"/>
                      <w:color w:val="auto"/>
                      <w:sz w:val="21"/>
                      <w:szCs w:val="21"/>
                      <w:highlight w:val="none"/>
                      <w:lang w:val="en-US" w:eastAsia="zh-CN"/>
                    </w:rPr>
                  </w:pPr>
                </w:p>
              </w:tc>
              <w:tc>
                <w:tcPr>
                  <w:tcW w:w="1106" w:type="pct"/>
                  <w:vMerge w:val="continue"/>
                  <w:noWrap w:val="0"/>
                  <w:vAlign w:val="center"/>
                </w:tcPr>
                <w:p w14:paraId="5476C3F4">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cs="Times New Roman"/>
                      <w:color w:val="auto"/>
                      <w:sz w:val="21"/>
                      <w:szCs w:val="21"/>
                      <w:highlight w:val="none"/>
                      <w:lang w:val="en-US" w:eastAsia="zh-CN"/>
                    </w:rPr>
                  </w:pPr>
                </w:p>
              </w:tc>
              <w:tc>
                <w:tcPr>
                  <w:tcW w:w="1137" w:type="pct"/>
                  <w:shd w:val="clear" w:color="auto" w:fill="auto"/>
                  <w:noWrap w:val="0"/>
                  <w:vAlign w:val="center"/>
                </w:tcPr>
                <w:p w14:paraId="5D9A644C">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氮氧化物</w:t>
                  </w:r>
                </w:p>
              </w:tc>
              <w:tc>
                <w:tcPr>
                  <w:tcW w:w="918" w:type="pct"/>
                  <w:shd w:val="clear" w:color="auto" w:fill="auto"/>
                  <w:noWrap w:val="0"/>
                  <w:vAlign w:val="center"/>
                </w:tcPr>
                <w:p w14:paraId="536FA451">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1次/月</w:t>
                  </w:r>
                </w:p>
              </w:tc>
              <w:tc>
                <w:tcPr>
                  <w:tcW w:w="1280" w:type="pct"/>
                  <w:vMerge w:val="continue"/>
                  <w:noWrap w:val="0"/>
                  <w:vAlign w:val="center"/>
                </w:tcPr>
                <w:p w14:paraId="014B5C24">
                  <w:pPr>
                    <w:pStyle w:val="84"/>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zh-TW" w:eastAsia="zh-TW" w:bidi="zh-TW"/>
                    </w:rPr>
                  </w:pPr>
                </w:p>
              </w:tc>
            </w:tr>
          </w:tbl>
          <w:p w14:paraId="74F0471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5、污染防治措施可行性分析</w:t>
            </w:r>
          </w:p>
          <w:p w14:paraId="039C75E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本项目燃气锅炉采用低氮燃烧+烟气再循环技术，废气通过一根</w:t>
            </w:r>
            <w:r>
              <w:rPr>
                <w:rFonts w:hint="eastAsia" w:cs="Times New Roman"/>
                <w:color w:val="auto"/>
                <w:sz w:val="24"/>
                <w:szCs w:val="24"/>
                <w:highlight w:val="none"/>
                <w:lang w:val="en-US" w:eastAsia="zh-CN"/>
              </w:rPr>
              <w:t>22</w:t>
            </w:r>
            <w:r>
              <w:rPr>
                <w:rFonts w:hint="default" w:ascii="Times New Roman" w:hAnsi="Times New Roman" w:cs="Times New Roman"/>
                <w:color w:val="auto"/>
                <w:sz w:val="24"/>
                <w:szCs w:val="24"/>
                <w:highlight w:val="none"/>
                <w:lang w:val="en-US" w:eastAsia="zh-CN"/>
              </w:rPr>
              <w:t>m高排气筒排放。</w:t>
            </w:r>
          </w:p>
          <w:p w14:paraId="4DD47EB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低氮燃烧技术又称为燃料分级或炉内还原(IFNR)技术，它是降低NOx排放的诸多炉内方法中最有效的措施之一。低氮燃烧技术将80%~85%的燃料送入主燃区在空气过量系数α&gt;1的条件下燃烧，其余15%~20%的燃料作为还原剂在主燃烧器的上部某一合适位置喷入形成再燃区，再燃区空气过量系数α＜1，再燃区不仅使已经生成的NOx得到还原，同时还抑制了新的NOx的生成，可进一步降低NOx的排放浓度。再燃区上方布置燃尽风以形成燃尽区，保证再燃区出口的未完全燃烧产物燃尽。同其他低NOx燃烧技术比较，再燃低NOx燃烧技术可以大幅度降低NO</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排放。对比《排污许可证申请与核发技术规范锅炉》(HJ953-2018)，低氮燃烧技术属于可行技术。</w:t>
            </w:r>
          </w:p>
          <w:p w14:paraId="46339D9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color w:val="auto"/>
                <w:sz w:val="24"/>
                <w:szCs w:val="24"/>
                <w:highlight w:val="none"/>
                <w:lang w:val="en-US" w:eastAsia="zh-CN"/>
              </w:rPr>
            </w:pPr>
            <w:r>
              <w:rPr>
                <w:rFonts w:hint="default" w:cs="Times New Roman"/>
                <w:color w:val="auto"/>
                <w:sz w:val="24"/>
                <w:szCs w:val="24"/>
                <w:highlight w:val="none"/>
                <w:lang w:val="en-US" w:eastAsia="zh-CN"/>
              </w:rPr>
              <w:t>根据《排污许可证申请与核发技术规范</w:t>
            </w:r>
            <w:r>
              <w:rPr>
                <w:rFonts w:hint="eastAsia" w:cs="Times New Roman"/>
                <w:color w:val="auto"/>
                <w:sz w:val="24"/>
                <w:szCs w:val="24"/>
                <w:highlight w:val="none"/>
                <w:lang w:val="en-US" w:eastAsia="zh-CN"/>
              </w:rPr>
              <w:t xml:space="preserve"> </w:t>
            </w:r>
            <w:r>
              <w:rPr>
                <w:rFonts w:hint="default" w:cs="Times New Roman"/>
                <w:color w:val="auto"/>
                <w:sz w:val="24"/>
                <w:szCs w:val="24"/>
                <w:highlight w:val="none"/>
                <w:lang w:val="en-US" w:eastAsia="zh-CN"/>
              </w:rPr>
              <w:t>锅炉》(HJ953-2018)表7锅炉烟气污染防治可行技术</w:t>
            </w:r>
            <w:r>
              <w:rPr>
                <w:rFonts w:hint="eastAsia" w:cs="Times New Roman"/>
                <w:color w:val="auto"/>
                <w:sz w:val="24"/>
                <w:szCs w:val="24"/>
                <w:highlight w:val="none"/>
                <w:lang w:val="en-US" w:eastAsia="zh-CN"/>
              </w:rPr>
              <w:t>参考表如下</w:t>
            </w:r>
            <w:r>
              <w:rPr>
                <w:rFonts w:hint="default" w:cs="Times New Roman"/>
                <w:color w:val="auto"/>
                <w:sz w:val="24"/>
                <w:szCs w:val="24"/>
                <w:highlight w:val="none"/>
                <w:lang w:val="en-US" w:eastAsia="zh-CN"/>
              </w:rPr>
              <w:t>。</w:t>
            </w:r>
          </w:p>
          <w:p w14:paraId="268FCB1C">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rightChars="0"/>
              <w:jc w:val="center"/>
              <w:textAlignment w:val="auto"/>
              <w:outlineLvl w:val="9"/>
              <w:rPr>
                <w:rFonts w:hint="eastAsia" w:ascii="Times New Roman" w:hAnsi="Times New Roman" w:eastAsia="黑体" w:cs="Times New Roman"/>
                <w:b w:val="0"/>
                <w:bCs/>
                <w:color w:val="auto"/>
                <w:sz w:val="21"/>
                <w:szCs w:val="16"/>
                <w:highlight w:val="none"/>
                <w:lang w:val="en-US" w:eastAsia="zh-CN"/>
              </w:rPr>
            </w:pPr>
            <w:r>
              <w:rPr>
                <w:rFonts w:hint="eastAsia" w:ascii="Times New Roman" w:hAnsi="Times New Roman" w:eastAsia="黑体" w:cs="Times New Roman"/>
                <w:b w:val="0"/>
                <w:bCs/>
                <w:color w:val="auto"/>
                <w:sz w:val="21"/>
                <w:szCs w:val="16"/>
                <w:highlight w:val="none"/>
                <w:lang w:val="en-US" w:eastAsia="zh-CN"/>
              </w:rPr>
              <w:t>表4.5-4  废气污染治理可行技术</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870"/>
              <w:gridCol w:w="1469"/>
              <w:gridCol w:w="1708"/>
              <w:gridCol w:w="1962"/>
              <w:gridCol w:w="1121"/>
            </w:tblGrid>
            <w:tr w14:paraId="0804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6" w:type="pct"/>
                  <w:vAlign w:val="center"/>
                </w:tcPr>
                <w:p w14:paraId="1D5D3C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燃料类型</w:t>
                  </w:r>
                </w:p>
              </w:tc>
              <w:tc>
                <w:tcPr>
                  <w:tcW w:w="548" w:type="pct"/>
                  <w:vAlign w:val="center"/>
                </w:tcPr>
                <w:p w14:paraId="3A544C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炉型</w:t>
                  </w:r>
                </w:p>
              </w:tc>
              <w:tc>
                <w:tcPr>
                  <w:tcW w:w="925" w:type="pct"/>
                  <w:vAlign w:val="center"/>
                </w:tcPr>
                <w:p w14:paraId="569348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污染物种类</w:t>
                  </w:r>
                </w:p>
              </w:tc>
              <w:tc>
                <w:tcPr>
                  <w:tcW w:w="1076" w:type="pct"/>
                  <w:vAlign w:val="center"/>
                </w:tcPr>
                <w:p w14:paraId="11BBD4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可行性技术</w:t>
                  </w:r>
                </w:p>
              </w:tc>
              <w:tc>
                <w:tcPr>
                  <w:tcW w:w="1236" w:type="pct"/>
                  <w:vAlign w:val="center"/>
                </w:tcPr>
                <w:p w14:paraId="4D3FB4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本项目拟采取措施</w:t>
                  </w:r>
                </w:p>
              </w:tc>
              <w:tc>
                <w:tcPr>
                  <w:tcW w:w="706" w:type="pct"/>
                  <w:vAlign w:val="center"/>
                </w:tcPr>
                <w:p w14:paraId="25AA7C6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是否可行</w:t>
                  </w:r>
                </w:p>
              </w:tc>
            </w:tr>
            <w:tr w14:paraId="566E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506" w:type="pct"/>
                  <w:vMerge w:val="restart"/>
                  <w:vAlign w:val="center"/>
                </w:tcPr>
                <w:p w14:paraId="7CBFEB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燃气</w:t>
                  </w:r>
                </w:p>
              </w:tc>
              <w:tc>
                <w:tcPr>
                  <w:tcW w:w="548" w:type="pct"/>
                  <w:vMerge w:val="restart"/>
                  <w:vAlign w:val="center"/>
                </w:tcPr>
                <w:p w14:paraId="682212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室燃炉</w:t>
                  </w:r>
                </w:p>
              </w:tc>
              <w:tc>
                <w:tcPr>
                  <w:tcW w:w="925" w:type="pct"/>
                  <w:vAlign w:val="center"/>
                </w:tcPr>
                <w:p w14:paraId="6C5CD7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颗粒物</w:t>
                  </w:r>
                </w:p>
              </w:tc>
              <w:tc>
                <w:tcPr>
                  <w:tcW w:w="1076" w:type="pct"/>
                  <w:vAlign w:val="center"/>
                </w:tcPr>
                <w:p w14:paraId="3BC3C7E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1236" w:type="pct"/>
                  <w:vAlign w:val="center"/>
                </w:tcPr>
                <w:p w14:paraId="1A4292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706" w:type="pct"/>
                  <w:vAlign w:val="center"/>
                </w:tcPr>
                <w:p w14:paraId="044D00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可行</w:t>
                  </w:r>
                </w:p>
              </w:tc>
            </w:tr>
            <w:tr w14:paraId="34DAA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506" w:type="pct"/>
                  <w:vMerge w:val="continue"/>
                  <w:vAlign w:val="center"/>
                </w:tcPr>
                <w:p w14:paraId="46893C7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highlight w:val="none"/>
                      <w:vertAlign w:val="baseline"/>
                      <w:lang w:val="en-US" w:eastAsia="zh-CN"/>
                    </w:rPr>
                  </w:pPr>
                </w:p>
              </w:tc>
              <w:tc>
                <w:tcPr>
                  <w:tcW w:w="548" w:type="pct"/>
                  <w:vMerge w:val="continue"/>
                  <w:vAlign w:val="center"/>
                </w:tcPr>
                <w:p w14:paraId="19C03D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highlight w:val="none"/>
                      <w:vertAlign w:val="baseline"/>
                      <w:lang w:val="en-US" w:eastAsia="zh-CN"/>
                    </w:rPr>
                  </w:pPr>
                </w:p>
              </w:tc>
              <w:tc>
                <w:tcPr>
                  <w:tcW w:w="925" w:type="pct"/>
                  <w:vAlign w:val="center"/>
                </w:tcPr>
                <w:p w14:paraId="0FBEC5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二氧化硫</w:t>
                  </w:r>
                </w:p>
              </w:tc>
              <w:tc>
                <w:tcPr>
                  <w:tcW w:w="1076" w:type="pct"/>
                  <w:vAlign w:val="center"/>
                </w:tcPr>
                <w:p w14:paraId="007E35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1236" w:type="pct"/>
                  <w:vAlign w:val="center"/>
                </w:tcPr>
                <w:p w14:paraId="5B66B60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w:t>
                  </w:r>
                </w:p>
              </w:tc>
              <w:tc>
                <w:tcPr>
                  <w:tcW w:w="706" w:type="pct"/>
                  <w:vAlign w:val="center"/>
                </w:tcPr>
                <w:p w14:paraId="7A8272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可行</w:t>
                  </w:r>
                </w:p>
              </w:tc>
            </w:tr>
            <w:tr w14:paraId="3E42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506" w:type="pct"/>
                  <w:vMerge w:val="continue"/>
                  <w:vAlign w:val="center"/>
                </w:tcPr>
                <w:p w14:paraId="4A8E38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highlight w:val="none"/>
                      <w:vertAlign w:val="baseline"/>
                      <w:lang w:val="en-US" w:eastAsia="zh-CN"/>
                    </w:rPr>
                  </w:pPr>
                </w:p>
              </w:tc>
              <w:tc>
                <w:tcPr>
                  <w:tcW w:w="548" w:type="pct"/>
                  <w:vMerge w:val="continue"/>
                  <w:vAlign w:val="center"/>
                </w:tcPr>
                <w:p w14:paraId="52BD2F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s="Times New Roman"/>
                      <w:color w:val="auto"/>
                      <w:sz w:val="21"/>
                      <w:szCs w:val="21"/>
                      <w:highlight w:val="none"/>
                      <w:vertAlign w:val="baseline"/>
                      <w:lang w:val="en-US" w:eastAsia="zh-CN"/>
                    </w:rPr>
                  </w:pPr>
                </w:p>
              </w:tc>
              <w:tc>
                <w:tcPr>
                  <w:tcW w:w="925" w:type="pct"/>
                  <w:vAlign w:val="center"/>
                </w:tcPr>
                <w:p w14:paraId="5B2A23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氮氧化物</w:t>
                  </w:r>
                </w:p>
              </w:tc>
              <w:tc>
                <w:tcPr>
                  <w:tcW w:w="1076" w:type="pct"/>
                  <w:vAlign w:val="center"/>
                </w:tcPr>
                <w:p w14:paraId="0FA263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default" w:cs="Times New Roman"/>
                      <w:color w:val="auto"/>
                      <w:sz w:val="21"/>
                      <w:szCs w:val="21"/>
                      <w:highlight w:val="none"/>
                      <w:vertAlign w:val="baseline"/>
                      <w:lang w:val="en-US" w:eastAsia="zh-CN"/>
                    </w:rPr>
                    <w:t>低氮燃烧技术、低氮燃烧+SCR脱硝技术</w:t>
                  </w:r>
                </w:p>
              </w:tc>
              <w:tc>
                <w:tcPr>
                  <w:tcW w:w="1236" w:type="pct"/>
                  <w:vAlign w:val="center"/>
                </w:tcPr>
                <w:p w14:paraId="222C7F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default" w:cs="Times New Roman"/>
                      <w:color w:val="auto"/>
                      <w:sz w:val="21"/>
                      <w:szCs w:val="21"/>
                      <w:highlight w:val="none"/>
                      <w:vertAlign w:val="baseline"/>
                      <w:lang w:val="en-US" w:eastAsia="zh-CN"/>
                    </w:rPr>
                    <w:t>低氮燃烧+烟气再循环技术</w:t>
                  </w:r>
                </w:p>
              </w:tc>
              <w:tc>
                <w:tcPr>
                  <w:tcW w:w="706" w:type="pct"/>
                  <w:vAlign w:val="center"/>
                </w:tcPr>
                <w:p w14:paraId="7520C2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可行</w:t>
                  </w:r>
                </w:p>
              </w:tc>
            </w:tr>
          </w:tbl>
          <w:p w14:paraId="6BE73B1D">
            <w:pPr>
              <w:pStyle w:val="88"/>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环境空气</w:t>
            </w:r>
            <w:r>
              <w:rPr>
                <w:rFonts w:hint="default" w:ascii="Times New Roman" w:hAnsi="Times New Roman" w:eastAsia="宋体" w:cs="Times New Roman"/>
                <w:color w:val="auto"/>
                <w:sz w:val="24"/>
                <w:szCs w:val="24"/>
                <w:highlight w:val="none"/>
                <w:lang w:val="en-US" w:eastAsia="zh-CN"/>
              </w:rPr>
              <w:t>影响分析</w:t>
            </w:r>
          </w:p>
          <w:p w14:paraId="1C0D2C0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本项目</w:t>
            </w:r>
            <w:r>
              <w:rPr>
                <w:rFonts w:hint="eastAsia" w:cs="Times New Roman"/>
                <w:color w:val="auto"/>
                <w:sz w:val="24"/>
                <w:szCs w:val="24"/>
                <w:highlight w:val="none"/>
                <w:lang w:val="en-US" w:eastAsia="zh-CN"/>
              </w:rPr>
              <w:t>废气为锅炉烟气，</w:t>
            </w:r>
            <w:r>
              <w:rPr>
                <w:rFonts w:hint="eastAsia" w:ascii="Times New Roman" w:hAnsi="Times New Roman" w:cs="Times New Roman"/>
                <w:color w:val="auto"/>
                <w:sz w:val="24"/>
                <w:szCs w:val="24"/>
                <w:highlight w:val="none"/>
                <w:lang w:val="en-US" w:eastAsia="zh-CN"/>
              </w:rPr>
              <w:t>主要污染物为颗粒物、二氧化硫、氮氧化物</w:t>
            </w:r>
            <w:r>
              <w:rPr>
                <w:rFonts w:hint="eastAsia" w:cs="Times New Roman"/>
                <w:color w:val="auto"/>
                <w:sz w:val="24"/>
                <w:szCs w:val="24"/>
                <w:highlight w:val="none"/>
                <w:lang w:val="en-US" w:eastAsia="zh-CN"/>
              </w:rPr>
              <w:t>、林格曼黑度</w:t>
            </w:r>
            <w:r>
              <w:rPr>
                <w:rFonts w:hint="eastAsia"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经核算，锅炉废气各污染物排放浓度均满足《锅炉大气污染物排放标准》（DB14/1929-2019），</w:t>
            </w:r>
            <w:r>
              <w:rPr>
                <w:rFonts w:hint="default" w:ascii="Times New Roman" w:hAnsi="Times New Roman" w:cs="Times New Roman"/>
                <w:color w:val="auto"/>
                <w:sz w:val="24"/>
                <w:szCs w:val="24"/>
                <w:highlight w:val="none"/>
                <w:lang w:val="en-US" w:eastAsia="zh-CN"/>
              </w:rPr>
              <w:t>不会对周围环境产生太大影响。</w:t>
            </w:r>
          </w:p>
          <w:p w14:paraId="4E798DB6">
            <w:pPr>
              <w:keepNext w:val="0"/>
              <w:keepLines w:val="0"/>
              <w:pageBreakBefore w:val="0"/>
              <w:widowControl w:val="0"/>
              <w:kinsoku/>
              <w:wordWrap/>
              <w:overflowPunct/>
              <w:topLinePunct w:val="0"/>
              <w:autoSpaceDE/>
              <w:autoSpaceDN/>
              <w:bidi w:val="0"/>
              <w:adjustRightInd w:val="0"/>
              <w:snapToGrid w:val="0"/>
              <w:spacing w:line="480" w:lineRule="exact"/>
              <w:ind w:firstLine="482" w:firstLineChars="200"/>
              <w:textAlignment w:val="auto"/>
              <w:rPr>
                <w:rFonts w:hint="eastAsia" w:ascii="Times New Roman" w:hAnsi="Times New Roman" w:eastAsia="宋体" w:cs="Times New Roman"/>
                <w:b/>
                <w:color w:val="auto"/>
                <w:sz w:val="24"/>
                <w:szCs w:val="24"/>
                <w:highlight w:val="none"/>
                <w:lang w:eastAsia="zh-CN"/>
              </w:rPr>
            </w:pPr>
            <w:r>
              <w:rPr>
                <w:rFonts w:hint="eastAsia" w:ascii="Times New Roman" w:hAnsi="Times New Roman" w:eastAsia="宋体" w:cs="Times New Roman"/>
                <w:b/>
                <w:color w:val="auto"/>
                <w:sz w:val="24"/>
                <w:szCs w:val="24"/>
                <w:highlight w:val="none"/>
                <w:lang w:val="en-US" w:eastAsia="zh-CN"/>
              </w:rPr>
              <w:t>4.6 废水</w:t>
            </w:r>
          </w:p>
          <w:p w14:paraId="70958C0D">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bCs/>
                <w:color w:val="auto"/>
                <w:spacing w:val="0"/>
                <w:sz w:val="24"/>
                <w:szCs w:val="24"/>
                <w:highlight w:val="none"/>
                <w:lang w:val="en-US" w:eastAsia="zh-CN"/>
              </w:rPr>
              <w:t>本项目废水产生环节主要为锅炉排污水和软化水系统排水</w:t>
            </w:r>
            <w:r>
              <w:rPr>
                <w:rFonts w:hint="eastAsia" w:cs="Times New Roman"/>
                <w:bCs/>
                <w:color w:val="auto"/>
                <w:spacing w:val="0"/>
                <w:sz w:val="24"/>
                <w:szCs w:val="24"/>
                <w:highlight w:val="none"/>
                <w:lang w:val="en-US" w:eastAsia="zh-CN"/>
              </w:rPr>
              <w:t>，经现有污水管网收集进入现有矿井水处理站进行处理。</w:t>
            </w:r>
          </w:p>
          <w:p w14:paraId="12293C9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olor w:val="auto"/>
                <w:sz w:val="24"/>
                <w:lang w:val="en-US" w:eastAsia="zh-CN" w:bidi="ar"/>
              </w:rPr>
              <w:t>本项目</w:t>
            </w:r>
            <w:r>
              <w:rPr>
                <w:rFonts w:hint="eastAsia" w:hAnsi="宋体"/>
                <w:color w:val="auto"/>
                <w:kern w:val="0"/>
                <w:sz w:val="24"/>
              </w:rPr>
              <w:t>无废水外排，不会对区域内的水环境造成影响</w:t>
            </w:r>
            <w:r>
              <w:rPr>
                <w:color w:val="auto"/>
                <w:sz w:val="24"/>
                <w:lang w:bidi="ar"/>
              </w:rPr>
              <w:t>。</w:t>
            </w:r>
          </w:p>
          <w:p w14:paraId="174B7FB7">
            <w:pPr>
              <w:keepNext w:val="0"/>
              <w:keepLines w:val="0"/>
              <w:pageBreakBefore w:val="0"/>
              <w:widowControl w:val="0"/>
              <w:kinsoku/>
              <w:wordWrap/>
              <w:overflowPunct/>
              <w:topLinePunct w:val="0"/>
              <w:autoSpaceDE w:val="0"/>
              <w:autoSpaceDN w:val="0"/>
              <w:bidi w:val="0"/>
              <w:adjustRightInd w:val="0"/>
              <w:snapToGrid w:val="0"/>
              <w:spacing w:line="480" w:lineRule="exact"/>
              <w:ind w:firstLine="480" w:firstLineChars="200"/>
              <w:jc w:val="both"/>
              <w:textAlignment w:val="auto"/>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项目运营期废水产生及排放情况见下表。</w:t>
            </w:r>
          </w:p>
          <w:p w14:paraId="7BF46193">
            <w:pPr>
              <w:keepNext w:val="0"/>
              <w:keepLines w:val="0"/>
              <w:pageBreakBefore w:val="0"/>
              <w:widowControl w:val="0"/>
              <w:kinsoku/>
              <w:wordWrap/>
              <w:overflowPunct/>
              <w:topLinePunct w:val="0"/>
              <w:autoSpaceDE/>
              <w:autoSpaceDN/>
              <w:bidi w:val="0"/>
              <w:adjustRightInd w:val="0"/>
              <w:snapToGrid w:val="0"/>
              <w:spacing w:line="480" w:lineRule="exact"/>
              <w:ind w:left="0" w:leftChars="0" w:right="0" w:rightChars="0"/>
              <w:jc w:val="center"/>
              <w:textAlignment w:val="auto"/>
              <w:outlineLvl w:val="9"/>
              <w:rPr>
                <w:rFonts w:hint="default" w:ascii="Times New Roman" w:hAnsi="Times New Roman" w:eastAsia="黑体" w:cs="Times New Roman"/>
                <w:b w:val="0"/>
                <w:bCs/>
                <w:color w:val="auto"/>
                <w:sz w:val="21"/>
                <w:szCs w:val="16"/>
                <w:highlight w:val="none"/>
                <w:lang w:val="en-US" w:eastAsia="zh-CN"/>
              </w:rPr>
            </w:pPr>
            <w:r>
              <w:rPr>
                <w:rFonts w:hint="eastAsia" w:ascii="Times New Roman" w:hAnsi="Times New Roman" w:eastAsia="黑体" w:cs="Times New Roman"/>
                <w:b w:val="0"/>
                <w:bCs/>
                <w:color w:val="auto"/>
                <w:sz w:val="21"/>
                <w:szCs w:val="16"/>
                <w:highlight w:val="none"/>
                <w:lang w:val="en-US" w:eastAsia="zh-CN"/>
              </w:rPr>
              <w:t>表</w:t>
            </w:r>
            <w:r>
              <w:rPr>
                <w:rFonts w:hint="eastAsia" w:eastAsia="黑体" w:cs="Times New Roman"/>
                <w:b w:val="0"/>
                <w:bCs/>
                <w:color w:val="auto"/>
                <w:sz w:val="21"/>
                <w:szCs w:val="16"/>
                <w:highlight w:val="none"/>
                <w:lang w:val="en-US" w:eastAsia="zh-CN"/>
              </w:rPr>
              <w:t>4.6-1</w:t>
            </w:r>
            <w:r>
              <w:rPr>
                <w:rFonts w:hint="eastAsia" w:ascii="Times New Roman" w:hAnsi="Times New Roman" w:eastAsia="黑体" w:cs="Times New Roman"/>
                <w:b w:val="0"/>
                <w:bCs/>
                <w:color w:val="auto"/>
                <w:sz w:val="21"/>
                <w:szCs w:val="16"/>
                <w:highlight w:val="none"/>
                <w:lang w:val="en-US" w:eastAsia="zh-CN"/>
              </w:rPr>
              <w:t xml:space="preserve">    项目运营期废水产生及</w:t>
            </w:r>
            <w:r>
              <w:rPr>
                <w:rFonts w:hint="eastAsia" w:eastAsia="黑体" w:cs="Times New Roman"/>
                <w:b w:val="0"/>
                <w:bCs/>
                <w:color w:val="auto"/>
                <w:sz w:val="21"/>
                <w:szCs w:val="16"/>
                <w:highlight w:val="none"/>
                <w:lang w:val="en-US" w:eastAsia="zh-CN"/>
              </w:rPr>
              <w:t>治理措施</w:t>
            </w:r>
            <w:r>
              <w:rPr>
                <w:rFonts w:hint="eastAsia" w:ascii="Times New Roman" w:hAnsi="Times New Roman" w:eastAsia="黑体" w:cs="Times New Roman"/>
                <w:b w:val="0"/>
                <w:bCs/>
                <w:color w:val="auto"/>
                <w:sz w:val="21"/>
                <w:szCs w:val="16"/>
                <w:highlight w:val="none"/>
                <w:lang w:val="en-US" w:eastAsia="zh-CN"/>
              </w:rPr>
              <w:t>一览表</w:t>
            </w:r>
          </w:p>
          <w:tbl>
            <w:tblPr>
              <w:tblStyle w:val="25"/>
              <w:tblW w:w="7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744"/>
              <w:gridCol w:w="1394"/>
              <w:gridCol w:w="1823"/>
              <w:gridCol w:w="2315"/>
            </w:tblGrid>
            <w:tr w14:paraId="1DE3B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682" w:type="dxa"/>
                  <w:vAlign w:val="center"/>
                </w:tcPr>
                <w:p w14:paraId="0DFCA9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序号</w:t>
                  </w:r>
                </w:p>
              </w:tc>
              <w:tc>
                <w:tcPr>
                  <w:tcW w:w="1744" w:type="dxa"/>
                  <w:vAlign w:val="center"/>
                </w:tcPr>
                <w:p w14:paraId="6A960B2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产污环节</w:t>
                  </w:r>
                </w:p>
              </w:tc>
              <w:tc>
                <w:tcPr>
                  <w:tcW w:w="1394" w:type="dxa"/>
                  <w:vAlign w:val="center"/>
                </w:tcPr>
                <w:p w14:paraId="33D310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污染物</w:t>
                  </w:r>
                </w:p>
              </w:tc>
              <w:tc>
                <w:tcPr>
                  <w:tcW w:w="1823" w:type="dxa"/>
                  <w:vAlign w:val="center"/>
                </w:tcPr>
                <w:p w14:paraId="301829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产生量</w:t>
                  </w:r>
                </w:p>
              </w:tc>
              <w:tc>
                <w:tcPr>
                  <w:tcW w:w="2315" w:type="dxa"/>
                  <w:vAlign w:val="center"/>
                </w:tcPr>
                <w:p w14:paraId="0D21D5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治理措施</w:t>
                  </w:r>
                </w:p>
              </w:tc>
            </w:tr>
            <w:tr w14:paraId="0795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82" w:type="dxa"/>
                  <w:vAlign w:val="center"/>
                </w:tcPr>
                <w:p w14:paraId="18D434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w:t>
                  </w:r>
                </w:p>
              </w:tc>
              <w:tc>
                <w:tcPr>
                  <w:tcW w:w="1744" w:type="dxa"/>
                  <w:vAlign w:val="center"/>
                </w:tcPr>
                <w:p w14:paraId="080DFB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锅炉排污水</w:t>
                  </w:r>
                </w:p>
              </w:tc>
              <w:tc>
                <w:tcPr>
                  <w:tcW w:w="1394" w:type="dxa"/>
                  <w:vAlign w:val="center"/>
                </w:tcPr>
                <w:p w14:paraId="5D0B6D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含盐量</w:t>
                  </w:r>
                </w:p>
              </w:tc>
              <w:tc>
                <w:tcPr>
                  <w:tcW w:w="1823" w:type="dxa"/>
                  <w:vAlign w:val="center"/>
                </w:tcPr>
                <w:p w14:paraId="03C4BA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kern w:val="2"/>
                      <w:sz w:val="21"/>
                      <w:szCs w:val="21"/>
                      <w:highlight w:val="none"/>
                      <w:vertAlign w:val="baseline"/>
                      <w:lang w:val="en-US" w:eastAsia="zh-CN" w:bidi="ar-SA"/>
                    </w:rPr>
                    <w:t>36</w:t>
                  </w:r>
                  <w:r>
                    <w:rPr>
                      <w:rFonts w:hint="eastAsia" w:ascii="Times New Roman" w:hAnsi="Times New Roman" w:eastAsia="宋体" w:cs="Times New Roman"/>
                      <w:color w:val="auto"/>
                      <w:kern w:val="2"/>
                      <w:sz w:val="21"/>
                      <w:szCs w:val="21"/>
                      <w:highlight w:val="none"/>
                      <w:vertAlign w:val="baseline"/>
                      <w:lang w:val="en-US" w:eastAsia="zh-CN" w:bidi="ar-SA"/>
                    </w:rPr>
                    <w:t>m</w:t>
                  </w:r>
                  <w:r>
                    <w:rPr>
                      <w:rFonts w:hint="eastAsia" w:ascii="Times New Roman" w:hAnsi="Times New Roman" w:eastAsia="宋体" w:cs="Times New Roman"/>
                      <w:color w:val="auto"/>
                      <w:kern w:val="2"/>
                      <w:sz w:val="21"/>
                      <w:szCs w:val="21"/>
                      <w:highlight w:val="none"/>
                      <w:vertAlign w:val="superscript"/>
                      <w:lang w:val="en-US" w:eastAsia="zh-CN" w:bidi="ar-SA"/>
                    </w:rPr>
                    <w:t>3</w:t>
                  </w:r>
                  <w:r>
                    <w:rPr>
                      <w:rFonts w:hint="eastAsia" w:ascii="Times New Roman" w:hAnsi="Times New Roman" w:eastAsia="宋体" w:cs="Times New Roman"/>
                      <w:color w:val="auto"/>
                      <w:kern w:val="2"/>
                      <w:sz w:val="21"/>
                      <w:szCs w:val="21"/>
                      <w:highlight w:val="none"/>
                      <w:vertAlign w:val="baseline"/>
                      <w:lang w:val="en-US" w:eastAsia="zh-CN" w:bidi="ar-SA"/>
                    </w:rPr>
                    <w:t>/d</w:t>
                  </w:r>
                </w:p>
              </w:tc>
              <w:tc>
                <w:tcPr>
                  <w:tcW w:w="2315" w:type="dxa"/>
                  <w:vMerge w:val="restart"/>
                  <w:vAlign w:val="center"/>
                </w:tcPr>
                <w:p w14:paraId="50A77F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经现有污水管道收集</w:t>
                  </w:r>
                  <w:r>
                    <w:rPr>
                      <w:rFonts w:hint="eastAsia" w:cs="Times New Roman"/>
                      <w:color w:val="auto"/>
                      <w:sz w:val="21"/>
                      <w:szCs w:val="21"/>
                      <w:highlight w:val="none"/>
                      <w:vertAlign w:val="baseline"/>
                      <w:lang w:val="en-US" w:eastAsia="zh-CN"/>
                    </w:rPr>
                    <w:t>进入现有矿井水处理站进行处理</w:t>
                  </w:r>
                  <w:r>
                    <w:rPr>
                      <w:rFonts w:hint="default" w:ascii="Times New Roman" w:hAnsi="Times New Roman" w:eastAsia="宋体" w:cs="Times New Roman"/>
                      <w:color w:val="auto"/>
                      <w:sz w:val="21"/>
                      <w:szCs w:val="21"/>
                      <w:highlight w:val="none"/>
                      <w:vertAlign w:val="baseline"/>
                      <w:lang w:val="en-US" w:eastAsia="zh-CN"/>
                    </w:rPr>
                    <w:t>后，优先回用</w:t>
                  </w:r>
                </w:p>
              </w:tc>
            </w:tr>
            <w:tr w14:paraId="116E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682" w:type="dxa"/>
                  <w:vAlign w:val="center"/>
                </w:tcPr>
                <w:p w14:paraId="271801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w:t>
                  </w:r>
                </w:p>
              </w:tc>
              <w:tc>
                <w:tcPr>
                  <w:tcW w:w="1744" w:type="dxa"/>
                  <w:vAlign w:val="center"/>
                </w:tcPr>
                <w:p w14:paraId="04D5C6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软化水系统排水</w:t>
                  </w:r>
                </w:p>
              </w:tc>
              <w:tc>
                <w:tcPr>
                  <w:tcW w:w="1394" w:type="dxa"/>
                  <w:vAlign w:val="center"/>
                </w:tcPr>
                <w:p w14:paraId="0787AD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含盐量</w:t>
                  </w:r>
                </w:p>
              </w:tc>
              <w:tc>
                <w:tcPr>
                  <w:tcW w:w="1823" w:type="dxa"/>
                  <w:vAlign w:val="center"/>
                </w:tcPr>
                <w:p w14:paraId="0874B5D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12</w:t>
                  </w:r>
                  <w:r>
                    <w:rPr>
                      <w:rFonts w:hint="eastAsia" w:ascii="Times New Roman" w:hAnsi="Times New Roman" w:eastAsia="宋体" w:cs="Times New Roman"/>
                      <w:color w:val="auto"/>
                      <w:kern w:val="2"/>
                      <w:sz w:val="21"/>
                      <w:szCs w:val="21"/>
                      <w:highlight w:val="none"/>
                      <w:vertAlign w:val="baseline"/>
                      <w:lang w:val="en-US" w:eastAsia="zh-CN" w:bidi="ar-SA"/>
                    </w:rPr>
                    <w:t>m</w:t>
                  </w:r>
                  <w:r>
                    <w:rPr>
                      <w:rFonts w:hint="eastAsia" w:ascii="Times New Roman" w:hAnsi="Times New Roman" w:eastAsia="宋体" w:cs="Times New Roman"/>
                      <w:color w:val="auto"/>
                      <w:kern w:val="2"/>
                      <w:sz w:val="21"/>
                      <w:szCs w:val="21"/>
                      <w:highlight w:val="none"/>
                      <w:vertAlign w:val="superscript"/>
                      <w:lang w:val="en-US" w:eastAsia="zh-CN" w:bidi="ar-SA"/>
                    </w:rPr>
                    <w:t>3</w:t>
                  </w:r>
                  <w:r>
                    <w:rPr>
                      <w:rFonts w:hint="eastAsia" w:ascii="Times New Roman" w:hAnsi="Times New Roman" w:eastAsia="宋体" w:cs="Times New Roman"/>
                      <w:color w:val="auto"/>
                      <w:kern w:val="2"/>
                      <w:sz w:val="21"/>
                      <w:szCs w:val="21"/>
                      <w:highlight w:val="none"/>
                      <w:vertAlign w:val="baseline"/>
                      <w:lang w:val="en-US" w:eastAsia="zh-CN" w:bidi="ar-SA"/>
                    </w:rPr>
                    <w:t>/d</w:t>
                  </w:r>
                </w:p>
              </w:tc>
              <w:tc>
                <w:tcPr>
                  <w:tcW w:w="2315" w:type="dxa"/>
                  <w:vMerge w:val="continue"/>
                  <w:vAlign w:val="center"/>
                </w:tcPr>
                <w:p w14:paraId="24FFD1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highlight w:val="none"/>
                      <w:vertAlign w:val="baseline"/>
                      <w:lang w:val="en-US" w:eastAsia="zh-CN"/>
                    </w:rPr>
                  </w:pPr>
                </w:p>
              </w:tc>
            </w:tr>
          </w:tbl>
          <w:p w14:paraId="5AAEDC6E">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eastAsia" w:cs="Times New Roman"/>
                <w:b w:val="0"/>
                <w:bCs w:val="0"/>
                <w:color w:val="auto"/>
                <w:spacing w:val="0"/>
                <w:sz w:val="24"/>
                <w:szCs w:val="20"/>
                <w:highlight w:val="none"/>
                <w:lang w:val="en-US" w:eastAsia="zh-CN"/>
              </w:rPr>
            </w:pPr>
            <w:r>
              <w:rPr>
                <w:rFonts w:hint="eastAsia" w:cs="Times New Roman"/>
                <w:b w:val="0"/>
                <w:bCs w:val="0"/>
                <w:color w:val="auto"/>
                <w:spacing w:val="0"/>
                <w:sz w:val="24"/>
                <w:szCs w:val="20"/>
                <w:highlight w:val="none"/>
                <w:lang w:val="en-US" w:eastAsia="zh-CN"/>
              </w:rPr>
              <w:t>依托现有矿井水处理站可行性分析：</w:t>
            </w:r>
          </w:p>
          <w:p w14:paraId="5055BB1D">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r>
              <w:rPr>
                <w:rFonts w:hint="default" w:cs="Times New Roman"/>
                <w:b w:val="0"/>
                <w:bCs w:val="0"/>
                <w:color w:val="auto"/>
                <w:spacing w:val="0"/>
                <w:sz w:val="24"/>
                <w:szCs w:val="20"/>
                <w:highlight w:val="none"/>
                <w:lang w:val="en-US" w:eastAsia="zh-CN"/>
              </w:rPr>
              <w:t>赵庄煤业在矿井主工业场地布置有一座矿井水处理站，其处理能力为12000m</w:t>
            </w:r>
            <w:r>
              <w:rPr>
                <w:rFonts w:hint="default" w:cs="Times New Roman"/>
                <w:b w:val="0"/>
                <w:bCs w:val="0"/>
                <w:color w:val="auto"/>
                <w:spacing w:val="0"/>
                <w:sz w:val="24"/>
                <w:szCs w:val="20"/>
                <w:highlight w:val="none"/>
                <w:vertAlign w:val="superscript"/>
                <w:lang w:val="en-US" w:eastAsia="zh-CN"/>
              </w:rPr>
              <w:t>3</w:t>
            </w:r>
            <w:r>
              <w:rPr>
                <w:rFonts w:hint="default" w:cs="Times New Roman"/>
                <w:b w:val="0"/>
                <w:bCs w:val="0"/>
                <w:color w:val="auto"/>
                <w:spacing w:val="0"/>
                <w:sz w:val="24"/>
                <w:szCs w:val="20"/>
                <w:highlight w:val="none"/>
                <w:lang w:val="en-US" w:eastAsia="zh-CN"/>
              </w:rPr>
              <w:t>/d</w:t>
            </w:r>
            <w:r>
              <w:rPr>
                <w:rFonts w:hint="eastAsia" w:cs="Times New Roman"/>
                <w:b w:val="0"/>
                <w:bCs w:val="0"/>
                <w:color w:val="auto"/>
                <w:spacing w:val="0"/>
                <w:sz w:val="24"/>
                <w:szCs w:val="20"/>
                <w:highlight w:val="none"/>
                <w:lang w:val="en-US" w:eastAsia="zh-CN"/>
              </w:rPr>
              <w:t>。</w:t>
            </w:r>
            <w:r>
              <w:rPr>
                <w:rFonts w:hint="default" w:cs="Times New Roman"/>
                <w:b w:val="0"/>
                <w:bCs w:val="0"/>
                <w:color w:val="auto"/>
                <w:spacing w:val="0"/>
                <w:sz w:val="24"/>
                <w:szCs w:val="20"/>
                <w:highlight w:val="none"/>
                <w:lang w:val="en-US" w:eastAsia="zh-CN"/>
              </w:rPr>
              <w:t>主要处理井田东部3号煤一、三、五盘区涌水</w:t>
            </w:r>
            <w:r>
              <w:rPr>
                <w:rFonts w:hint="eastAsia" w:cs="Times New Roman"/>
                <w:b w:val="0"/>
                <w:bCs w:val="0"/>
                <w:color w:val="auto"/>
                <w:spacing w:val="0"/>
                <w:sz w:val="24"/>
                <w:szCs w:val="20"/>
                <w:highlight w:val="none"/>
                <w:lang w:val="en-US" w:eastAsia="zh-CN"/>
              </w:rPr>
              <w:t>，</w:t>
            </w:r>
            <w:r>
              <w:rPr>
                <w:rFonts w:hint="default" w:cs="Times New Roman"/>
                <w:b w:val="0"/>
                <w:bCs w:val="0"/>
                <w:color w:val="auto"/>
                <w:spacing w:val="0"/>
                <w:sz w:val="24"/>
                <w:szCs w:val="20"/>
                <w:highlight w:val="none"/>
                <w:lang w:val="en-US" w:eastAsia="zh-CN"/>
              </w:rPr>
              <w:t>采用平流式沉淀处理工艺+无烟煤过滤+活性氧化铝过滤系统+超滤系统</w:t>
            </w:r>
            <w:r>
              <w:rPr>
                <w:rFonts w:hint="eastAsia" w:cs="Times New Roman"/>
                <w:b w:val="0"/>
                <w:bCs w:val="0"/>
                <w:color w:val="auto"/>
                <w:spacing w:val="0"/>
                <w:sz w:val="24"/>
                <w:szCs w:val="20"/>
                <w:highlight w:val="none"/>
                <w:lang w:val="en-US" w:eastAsia="zh-CN"/>
              </w:rPr>
              <w:t>，处理后部分回用，剩余部分排入小丹河</w:t>
            </w:r>
            <w:r>
              <w:rPr>
                <w:rFonts w:hint="default" w:cs="Times New Roman"/>
                <w:b w:val="0"/>
                <w:bCs w:val="0"/>
                <w:color w:val="auto"/>
                <w:spacing w:val="0"/>
                <w:sz w:val="24"/>
                <w:szCs w:val="20"/>
                <w:highlight w:val="none"/>
                <w:lang w:val="en-US" w:eastAsia="zh-CN"/>
              </w:rPr>
              <w:t>。</w:t>
            </w:r>
          </w:p>
          <w:p w14:paraId="62ADF4A6">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r>
              <w:rPr>
                <w:rFonts w:hint="default" w:cs="Times New Roman"/>
                <w:b w:val="0"/>
                <w:bCs w:val="0"/>
                <w:color w:val="auto"/>
                <w:spacing w:val="0"/>
                <w:sz w:val="24"/>
                <w:szCs w:val="20"/>
                <w:highlight w:val="none"/>
                <w:lang w:val="en-US" w:eastAsia="zh-CN"/>
              </w:rPr>
              <w:t>根据《矿井水文地质类型报告》，当3、15号煤层配采产量达到8Mt时，矿井正常涌水量为5954.4m</w:t>
            </w:r>
            <w:r>
              <w:rPr>
                <w:rFonts w:hint="default" w:cs="Times New Roman"/>
                <w:b w:val="0"/>
                <w:bCs w:val="0"/>
                <w:color w:val="auto"/>
                <w:spacing w:val="0"/>
                <w:sz w:val="24"/>
                <w:szCs w:val="20"/>
                <w:highlight w:val="none"/>
                <w:vertAlign w:val="superscript"/>
                <w:lang w:val="en-US" w:eastAsia="zh-CN"/>
              </w:rPr>
              <w:t>3</w:t>
            </w:r>
            <w:r>
              <w:rPr>
                <w:rFonts w:hint="default" w:cs="Times New Roman"/>
                <w:b w:val="0"/>
                <w:bCs w:val="0"/>
                <w:color w:val="auto"/>
                <w:spacing w:val="0"/>
                <w:sz w:val="24"/>
                <w:szCs w:val="20"/>
                <w:highlight w:val="none"/>
                <w:lang w:val="en-US" w:eastAsia="zh-CN"/>
              </w:rPr>
              <w:t>/d（248.1m</w:t>
            </w:r>
            <w:r>
              <w:rPr>
                <w:rFonts w:hint="default" w:cs="Times New Roman"/>
                <w:b w:val="0"/>
                <w:bCs w:val="0"/>
                <w:color w:val="auto"/>
                <w:spacing w:val="0"/>
                <w:sz w:val="24"/>
                <w:szCs w:val="20"/>
                <w:highlight w:val="none"/>
                <w:vertAlign w:val="superscript"/>
                <w:lang w:val="en-US" w:eastAsia="zh-CN"/>
              </w:rPr>
              <w:t>3</w:t>
            </w:r>
            <w:r>
              <w:rPr>
                <w:rFonts w:hint="default" w:cs="Times New Roman"/>
                <w:b w:val="0"/>
                <w:bCs w:val="0"/>
                <w:color w:val="auto"/>
                <w:spacing w:val="0"/>
                <w:sz w:val="24"/>
                <w:szCs w:val="20"/>
                <w:highlight w:val="none"/>
                <w:lang w:val="en-US" w:eastAsia="zh-CN"/>
              </w:rPr>
              <w:t>/h），最大涌水量为8667.12m</w:t>
            </w:r>
            <w:r>
              <w:rPr>
                <w:rFonts w:hint="default" w:cs="Times New Roman"/>
                <w:b w:val="0"/>
                <w:bCs w:val="0"/>
                <w:color w:val="auto"/>
                <w:spacing w:val="0"/>
                <w:sz w:val="24"/>
                <w:szCs w:val="20"/>
                <w:highlight w:val="none"/>
                <w:vertAlign w:val="superscript"/>
                <w:lang w:val="en-US" w:eastAsia="zh-CN"/>
              </w:rPr>
              <w:t>3</w:t>
            </w:r>
            <w:r>
              <w:rPr>
                <w:rFonts w:hint="default" w:cs="Times New Roman"/>
                <w:b w:val="0"/>
                <w:bCs w:val="0"/>
                <w:color w:val="auto"/>
                <w:spacing w:val="0"/>
                <w:sz w:val="24"/>
                <w:szCs w:val="20"/>
                <w:highlight w:val="none"/>
                <w:lang w:val="en-US" w:eastAsia="zh-CN"/>
              </w:rPr>
              <w:t>/d（361.13m</w:t>
            </w:r>
            <w:r>
              <w:rPr>
                <w:rFonts w:hint="default" w:cs="Times New Roman"/>
                <w:b w:val="0"/>
                <w:bCs w:val="0"/>
                <w:color w:val="auto"/>
                <w:spacing w:val="0"/>
                <w:sz w:val="24"/>
                <w:szCs w:val="20"/>
                <w:highlight w:val="none"/>
                <w:vertAlign w:val="superscript"/>
                <w:lang w:val="en-US" w:eastAsia="zh-CN"/>
              </w:rPr>
              <w:t>3</w:t>
            </w:r>
            <w:r>
              <w:rPr>
                <w:rFonts w:hint="default" w:cs="Times New Roman"/>
                <w:b w:val="0"/>
                <w:bCs w:val="0"/>
                <w:color w:val="auto"/>
                <w:spacing w:val="0"/>
                <w:sz w:val="24"/>
                <w:szCs w:val="20"/>
                <w:highlight w:val="none"/>
                <w:lang w:val="en-US" w:eastAsia="zh-CN"/>
              </w:rPr>
              <w:t>/h）。</w:t>
            </w:r>
          </w:p>
          <w:p w14:paraId="3ADB2574">
            <w:pPr>
              <w:keepNext w:val="0"/>
              <w:keepLines w:val="0"/>
              <w:pageBreakBefore w:val="0"/>
              <w:widowControl w:val="0"/>
              <w:kinsoku/>
              <w:wordWrap/>
              <w:overflowPunct/>
              <w:topLinePunct w:val="0"/>
              <w:bidi w:val="0"/>
              <w:adjustRightInd w:val="0"/>
              <w:snapToGrid w:val="0"/>
              <w:spacing w:line="480" w:lineRule="exact"/>
              <w:ind w:firstLine="480" w:firstLineChars="200"/>
              <w:jc w:val="both"/>
              <w:textAlignment w:val="auto"/>
              <w:rPr>
                <w:rFonts w:hint="default" w:cs="Times New Roman"/>
                <w:b w:val="0"/>
                <w:bCs w:val="0"/>
                <w:color w:val="auto"/>
                <w:spacing w:val="0"/>
                <w:sz w:val="24"/>
                <w:szCs w:val="20"/>
                <w:highlight w:val="none"/>
                <w:lang w:val="en-US" w:eastAsia="zh-CN"/>
              </w:rPr>
            </w:pPr>
            <w:r>
              <w:rPr>
                <w:rFonts w:hint="default" w:cs="Times New Roman"/>
                <w:b w:val="0"/>
                <w:bCs w:val="0"/>
                <w:color w:val="auto"/>
                <w:spacing w:val="0"/>
                <w:sz w:val="24"/>
                <w:szCs w:val="20"/>
                <w:highlight w:val="none"/>
                <w:lang w:val="en-US" w:eastAsia="zh-CN"/>
              </w:rPr>
              <w:t>目前赵庄矿井井下平均排水量约为7000m</w:t>
            </w:r>
            <w:r>
              <w:rPr>
                <w:rFonts w:hint="default" w:cs="Times New Roman"/>
                <w:b w:val="0"/>
                <w:bCs w:val="0"/>
                <w:color w:val="auto"/>
                <w:spacing w:val="0"/>
                <w:sz w:val="24"/>
                <w:szCs w:val="20"/>
                <w:highlight w:val="none"/>
                <w:vertAlign w:val="superscript"/>
                <w:lang w:val="en-US" w:eastAsia="zh-CN"/>
              </w:rPr>
              <w:t>3</w:t>
            </w:r>
            <w:r>
              <w:rPr>
                <w:rFonts w:hint="default" w:cs="Times New Roman"/>
                <w:b w:val="0"/>
                <w:bCs w:val="0"/>
                <w:color w:val="auto"/>
                <w:spacing w:val="0"/>
                <w:sz w:val="24"/>
                <w:szCs w:val="20"/>
                <w:highlight w:val="none"/>
                <w:lang w:val="en-US" w:eastAsia="zh-CN"/>
              </w:rPr>
              <w:t>/d</w:t>
            </w:r>
            <w:r>
              <w:rPr>
                <w:rFonts w:hint="eastAsia" w:cs="Times New Roman"/>
                <w:b w:val="0"/>
                <w:bCs w:val="0"/>
                <w:color w:val="auto"/>
                <w:spacing w:val="0"/>
                <w:sz w:val="24"/>
                <w:szCs w:val="20"/>
                <w:highlight w:val="none"/>
                <w:lang w:val="en-US" w:eastAsia="zh-CN"/>
              </w:rPr>
              <w:t>，本次改扩建后废水产生量约为</w:t>
            </w:r>
            <w:r>
              <w:rPr>
                <w:rFonts w:hint="eastAsia" w:cs="Times New Roman"/>
                <w:b w:val="0"/>
                <w:bCs w:val="0"/>
                <w:color w:val="auto"/>
                <w:spacing w:val="0"/>
                <w:sz w:val="24"/>
                <w:szCs w:val="24"/>
                <w:highlight w:val="none"/>
                <w:lang w:val="en-US" w:eastAsia="zh-CN"/>
              </w:rPr>
              <w:t>48m</w:t>
            </w:r>
            <w:r>
              <w:rPr>
                <w:rFonts w:hint="eastAsia" w:cs="Times New Roman"/>
                <w:b w:val="0"/>
                <w:bCs w:val="0"/>
                <w:color w:val="auto"/>
                <w:spacing w:val="0"/>
                <w:sz w:val="24"/>
                <w:szCs w:val="24"/>
                <w:highlight w:val="none"/>
                <w:vertAlign w:val="superscript"/>
                <w:lang w:val="en-US" w:eastAsia="zh-CN"/>
              </w:rPr>
              <w:t>3</w:t>
            </w:r>
            <w:r>
              <w:rPr>
                <w:rFonts w:hint="eastAsia" w:cs="Times New Roman"/>
                <w:b w:val="0"/>
                <w:bCs w:val="0"/>
                <w:color w:val="auto"/>
                <w:spacing w:val="0"/>
                <w:sz w:val="24"/>
                <w:szCs w:val="24"/>
                <w:highlight w:val="none"/>
                <w:lang w:val="en-US" w:eastAsia="zh-CN"/>
              </w:rPr>
              <w:t>/d，矿井水处理站处理余量远大于本项目污水产生量，完全可以接纳本项目废水。</w:t>
            </w:r>
            <w:r>
              <w:rPr>
                <w:rFonts w:hint="default" w:cs="Times New Roman"/>
                <w:b w:val="0"/>
                <w:bCs w:val="0"/>
                <w:color w:val="auto"/>
                <w:spacing w:val="0"/>
                <w:sz w:val="24"/>
                <w:szCs w:val="20"/>
                <w:highlight w:val="none"/>
                <w:lang w:val="en-US" w:eastAsia="zh-CN"/>
              </w:rPr>
              <w:t xml:space="preserve"> </w:t>
            </w:r>
            <w:r>
              <w:rPr>
                <w:rFonts w:hint="eastAsia" w:cs="Times New Roman"/>
                <w:b w:val="0"/>
                <w:bCs w:val="0"/>
                <w:color w:val="auto"/>
                <w:spacing w:val="0"/>
                <w:sz w:val="24"/>
                <w:szCs w:val="20"/>
                <w:highlight w:val="none"/>
                <w:lang w:val="en-US" w:eastAsia="zh-CN"/>
              </w:rPr>
              <w:t>因此，本次依托现有矿井水处理站处理废水可行。</w:t>
            </w:r>
          </w:p>
          <w:p w14:paraId="075B34A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4BCC792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20A0AC68">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6F05CB60">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7F186D45">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2EFA64E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6461DF4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3CAED0D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0EDD4F08">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4EE0AA1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2D4AE383">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326D7A2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6FA580A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71E485ED">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2BD7828D">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3A45EFB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052FFF7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66017E09">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1F4E4936">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588831A2">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1833E43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0053FBFA">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5D26B33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p w14:paraId="56911A5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default" w:ascii="Times New Roman" w:hAnsi="Times New Roman" w:eastAsia="宋体" w:cs="Times New Roman"/>
                <w:color w:val="auto"/>
                <w:sz w:val="24"/>
                <w:szCs w:val="20"/>
                <w:highlight w:val="none"/>
                <w:lang w:val="en-US" w:eastAsia="zh-CN"/>
              </w:rPr>
            </w:pPr>
          </w:p>
        </w:tc>
      </w:tr>
    </w:tbl>
    <w:p w14:paraId="7BCF1FCB">
      <w:pPr>
        <w:pStyle w:val="31"/>
        <w:rPr>
          <w:rFonts w:hint="default"/>
          <w:color w:val="auto"/>
          <w:highlight w:val="none"/>
        </w:rPr>
        <w:sectPr>
          <w:pgSz w:w="11907" w:h="16840"/>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5"/>
        <w:tblW w:w="147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4045"/>
      </w:tblGrid>
      <w:tr w14:paraId="24C6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1" w:hRule="atLeast"/>
          <w:jc w:val="center"/>
        </w:trPr>
        <w:tc>
          <w:tcPr>
            <w:tcW w:w="714" w:type="dxa"/>
            <w:vAlign w:val="center"/>
          </w:tcPr>
          <w:p w14:paraId="1F7AF989">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运营</w:t>
            </w:r>
          </w:p>
          <w:p w14:paraId="42940D2C">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期环</w:t>
            </w:r>
          </w:p>
          <w:p w14:paraId="19F60C06">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境影</w:t>
            </w:r>
          </w:p>
          <w:p w14:paraId="06D90C71">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响和</w:t>
            </w:r>
          </w:p>
          <w:p w14:paraId="1EB16D83">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保护</w:t>
            </w:r>
          </w:p>
          <w:p w14:paraId="09F244AB">
            <w:pPr>
              <w:adjustRightInd w:val="0"/>
              <w:snapToGrid w:val="0"/>
              <w:jc w:val="center"/>
              <w:rPr>
                <w:rFonts w:hint="eastAsia" w:ascii="Times New Roman" w:hAnsi="Times New Roman" w:eastAsia="宋体" w:cs="Times New Roman"/>
                <w:b/>
                <w:bCs w:val="0"/>
                <w:color w:val="auto"/>
                <w:spacing w:val="-10"/>
                <w:sz w:val="24"/>
                <w:szCs w:val="24"/>
                <w:highlight w:val="none"/>
                <w:vertAlign w:val="baseline"/>
                <w:lang w:val="en-US" w:eastAsia="zh-CN"/>
              </w:rPr>
            </w:pPr>
            <w:r>
              <w:rPr>
                <w:rFonts w:hint="default" w:ascii="Times New Roman" w:hAnsi="Times New Roman" w:eastAsia="宋体" w:cs="Times New Roman"/>
                <w:bCs/>
                <w:color w:val="auto"/>
                <w:szCs w:val="21"/>
                <w:highlight w:val="none"/>
                <w:lang w:val="en-US" w:eastAsia="zh-CN"/>
              </w:rPr>
              <w:t>措施</w:t>
            </w:r>
          </w:p>
        </w:tc>
        <w:tc>
          <w:tcPr>
            <w:tcW w:w="14593" w:type="dxa"/>
          </w:tcPr>
          <w:p w14:paraId="248A9F18">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lang w:val="en-US"/>
              </w:rPr>
            </w:pPr>
            <w:r>
              <w:rPr>
                <w:rFonts w:hint="eastAsia" w:ascii="Times New Roman" w:hAnsi="Times New Roman" w:eastAsia="宋体" w:cs="Times New Roman"/>
                <w:b/>
                <w:color w:val="auto"/>
                <w:sz w:val="24"/>
                <w:szCs w:val="24"/>
                <w:highlight w:val="none"/>
                <w:lang w:val="en-US" w:eastAsia="zh-CN"/>
              </w:rPr>
              <w:t>4.7 噪声</w:t>
            </w:r>
          </w:p>
          <w:p w14:paraId="2D7B071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color w:val="auto"/>
                <w:sz w:val="24"/>
                <w:highlight w:val="none"/>
              </w:rPr>
              <w:t>噪声源分析</w:t>
            </w:r>
          </w:p>
          <w:p w14:paraId="610365F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本</w:t>
            </w:r>
            <w:r>
              <w:rPr>
                <w:rFonts w:hint="eastAsia" w:ascii="Times New Roman" w:hAnsi="Times New Roman" w:eastAsia="宋体" w:cs="Times New Roman"/>
                <w:color w:val="auto"/>
                <w:sz w:val="24"/>
                <w:highlight w:val="none"/>
                <w:lang w:eastAsia="zh-CN"/>
              </w:rPr>
              <w:t>项目</w:t>
            </w:r>
            <w:r>
              <w:rPr>
                <w:rFonts w:hint="eastAsia" w:ascii="Times New Roman" w:hAnsi="Times New Roman" w:eastAsia="宋体" w:cs="Times New Roman"/>
                <w:color w:val="auto"/>
                <w:sz w:val="24"/>
                <w:highlight w:val="none"/>
                <w:lang w:val="en-US" w:eastAsia="zh-CN"/>
              </w:rPr>
              <w:t>噪声源强</w:t>
            </w:r>
            <w:r>
              <w:rPr>
                <w:rFonts w:hint="eastAsia" w:ascii="Times New Roman" w:hAnsi="Times New Roman" w:eastAsia="宋体" w:cs="Times New Roman"/>
                <w:color w:val="auto"/>
                <w:sz w:val="24"/>
                <w:highlight w:val="none"/>
                <w:lang w:eastAsia="zh-CN"/>
              </w:rPr>
              <w:t>见</w:t>
            </w:r>
            <w:r>
              <w:rPr>
                <w:rFonts w:hint="eastAsia" w:cs="Times New Roman"/>
                <w:color w:val="auto"/>
                <w:sz w:val="24"/>
                <w:highlight w:val="none"/>
                <w:lang w:val="en-US" w:eastAsia="zh-CN"/>
              </w:rPr>
              <w:t>下</w:t>
            </w:r>
            <w:r>
              <w:rPr>
                <w:rFonts w:hint="eastAsia" w:ascii="Times New Roman" w:hAnsi="Times New Roman" w:eastAsia="宋体" w:cs="Times New Roman"/>
                <w:color w:val="auto"/>
                <w:sz w:val="24"/>
                <w:highlight w:val="none"/>
                <w:lang w:val="en-US" w:eastAsia="zh-CN"/>
              </w:rPr>
              <w:t>表</w:t>
            </w:r>
            <w:r>
              <w:rPr>
                <w:rFonts w:hint="default" w:ascii="Times New Roman" w:hAnsi="Times New Roman" w:eastAsia="宋体" w:cs="Times New Roman"/>
                <w:color w:val="auto"/>
                <w:spacing w:val="4"/>
                <w:sz w:val="24"/>
                <w:highlight w:val="none"/>
                <w:lang w:val="en-US" w:eastAsia="zh-CN"/>
              </w:rPr>
              <w:t>。</w:t>
            </w:r>
          </w:p>
          <w:p w14:paraId="241C5F2F">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spacing w:val="0"/>
                <w:kern w:val="2"/>
                <w:sz w:val="21"/>
                <w:szCs w:val="21"/>
                <w:highlight w:val="none"/>
                <w:lang w:val="en-US" w:eastAsia="zh-CN" w:bidi="ar-SA"/>
              </w:rPr>
            </w:pPr>
            <w:r>
              <w:rPr>
                <w:rFonts w:hint="default" w:ascii="Times New Roman" w:hAnsi="Times New Roman" w:eastAsia="黑体" w:cs="Times New Roman"/>
                <w:b w:val="0"/>
                <w:bCs w:val="0"/>
                <w:color w:val="auto"/>
                <w:spacing w:val="0"/>
                <w:kern w:val="2"/>
                <w:sz w:val="21"/>
                <w:szCs w:val="21"/>
                <w:highlight w:val="none"/>
                <w:lang w:val="en-US" w:eastAsia="zh-CN" w:bidi="ar-SA"/>
              </w:rPr>
              <w:t>表</w:t>
            </w:r>
            <w:r>
              <w:rPr>
                <w:rFonts w:hint="eastAsia" w:eastAsia="黑体" w:cs="Times New Roman"/>
                <w:b w:val="0"/>
                <w:bCs w:val="0"/>
                <w:color w:val="auto"/>
                <w:spacing w:val="0"/>
                <w:kern w:val="2"/>
                <w:sz w:val="21"/>
                <w:szCs w:val="21"/>
                <w:highlight w:val="none"/>
                <w:lang w:val="en-US" w:eastAsia="zh-CN" w:bidi="ar-SA"/>
              </w:rPr>
              <w:t xml:space="preserve">4.7-1  </w:t>
            </w:r>
            <w:r>
              <w:rPr>
                <w:rFonts w:hint="default" w:ascii="Times New Roman" w:hAnsi="Times New Roman" w:eastAsia="黑体" w:cs="Times New Roman"/>
                <w:b w:val="0"/>
                <w:bCs w:val="0"/>
                <w:color w:val="auto"/>
                <w:spacing w:val="0"/>
                <w:kern w:val="2"/>
                <w:sz w:val="21"/>
                <w:szCs w:val="21"/>
                <w:highlight w:val="none"/>
                <w:lang w:val="en-US" w:eastAsia="zh-CN" w:bidi="ar-SA"/>
              </w:rPr>
              <w:t xml:space="preserve"> 室内噪声源源强调查清单</w:t>
            </w:r>
          </w:p>
          <w:tbl>
            <w:tblPr>
              <w:tblStyle w:val="24"/>
              <w:tblW w:w="49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00"/>
              <w:gridCol w:w="1446"/>
              <w:gridCol w:w="745"/>
              <w:gridCol w:w="832"/>
              <w:gridCol w:w="1102"/>
              <w:gridCol w:w="690"/>
              <w:gridCol w:w="690"/>
              <w:gridCol w:w="693"/>
              <w:gridCol w:w="982"/>
              <w:gridCol w:w="938"/>
              <w:gridCol w:w="805"/>
              <w:gridCol w:w="1102"/>
              <w:gridCol w:w="952"/>
              <w:gridCol w:w="1130"/>
            </w:tblGrid>
            <w:tr w14:paraId="3A8C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0" w:type="pct"/>
                  <w:vMerge w:val="restart"/>
                  <w:vAlign w:val="center"/>
                </w:tcPr>
                <w:p w14:paraId="0CB0E4A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序号</w:t>
                  </w:r>
                </w:p>
              </w:tc>
              <w:tc>
                <w:tcPr>
                  <w:tcW w:w="366" w:type="pct"/>
                  <w:vMerge w:val="restart"/>
                  <w:vAlign w:val="center"/>
                </w:tcPr>
                <w:p w14:paraId="2ED5394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建筑物</w:t>
                  </w:r>
                  <w:r>
                    <w:rPr>
                      <w:rFonts w:ascii="Times New Roman" w:hAnsi="Times New Roman" w:eastAsia="宋体" w:cs="Times New Roman"/>
                      <w:color w:val="auto"/>
                      <w:spacing w:val="0"/>
                      <w:sz w:val="21"/>
                      <w:szCs w:val="21"/>
                      <w:highlight w:val="none"/>
                    </w:rPr>
                    <w:t>名称</w:t>
                  </w:r>
                </w:p>
              </w:tc>
              <w:tc>
                <w:tcPr>
                  <w:tcW w:w="530" w:type="pct"/>
                  <w:vMerge w:val="restart"/>
                  <w:vAlign w:val="center"/>
                </w:tcPr>
                <w:p w14:paraId="0996781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声源</w:t>
                  </w:r>
                  <w:r>
                    <w:rPr>
                      <w:rFonts w:ascii="Times New Roman" w:hAnsi="Times New Roman" w:eastAsia="宋体" w:cs="Times New Roman"/>
                      <w:color w:val="auto"/>
                      <w:spacing w:val="0"/>
                      <w:sz w:val="21"/>
                      <w:szCs w:val="21"/>
                      <w:highlight w:val="none"/>
                    </w:rPr>
                    <w:t>名称</w:t>
                  </w:r>
                </w:p>
              </w:tc>
              <w:tc>
                <w:tcPr>
                  <w:tcW w:w="273" w:type="pct"/>
                  <w:vMerge w:val="restart"/>
                  <w:vAlign w:val="center"/>
                </w:tcPr>
                <w:p w14:paraId="0661861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数量（台/套）</w:t>
                  </w:r>
                </w:p>
              </w:tc>
              <w:tc>
                <w:tcPr>
                  <w:tcW w:w="305" w:type="pct"/>
                  <w:vMerge w:val="restart"/>
                  <w:vAlign w:val="center"/>
                </w:tcPr>
                <w:p w14:paraId="7C418A6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声功率级</w:t>
                  </w:r>
                  <w:r>
                    <w:rPr>
                      <w:rFonts w:ascii="Times New Roman" w:hAnsi="Times New Roman" w:eastAsia="宋体" w:cs="Times New Roman"/>
                      <w:color w:val="auto"/>
                      <w:spacing w:val="0"/>
                      <w:sz w:val="21"/>
                      <w:szCs w:val="21"/>
                      <w:highlight w:val="none"/>
                    </w:rPr>
                    <w:t>dB</w:t>
                  </w:r>
                  <w:r>
                    <w:rPr>
                      <w:rFonts w:hint="eastAsia" w:ascii="Times New Roman" w:hAnsi="Times New Roman" w:eastAsia="宋体" w:cs="Times New Roman"/>
                      <w:color w:val="auto"/>
                      <w:spacing w:val="0"/>
                      <w:sz w:val="21"/>
                      <w:szCs w:val="21"/>
                      <w:highlight w:val="none"/>
                    </w:rPr>
                    <w:t>(</w:t>
                  </w:r>
                  <w:r>
                    <w:rPr>
                      <w:rFonts w:ascii="Times New Roman" w:hAnsi="Times New Roman" w:eastAsia="宋体" w:cs="Times New Roman"/>
                      <w:color w:val="auto"/>
                      <w:spacing w:val="0"/>
                      <w:sz w:val="21"/>
                      <w:szCs w:val="21"/>
                      <w:highlight w:val="none"/>
                    </w:rPr>
                    <w:t>A</w:t>
                  </w:r>
                  <w:r>
                    <w:rPr>
                      <w:rFonts w:hint="eastAsia" w:ascii="Times New Roman" w:hAnsi="Times New Roman" w:eastAsia="宋体" w:cs="Times New Roman"/>
                      <w:color w:val="auto"/>
                      <w:spacing w:val="0"/>
                      <w:sz w:val="21"/>
                      <w:szCs w:val="21"/>
                      <w:highlight w:val="none"/>
                    </w:rPr>
                    <w:t>)</w:t>
                  </w:r>
                </w:p>
              </w:tc>
              <w:tc>
                <w:tcPr>
                  <w:tcW w:w="404" w:type="pct"/>
                  <w:vMerge w:val="restart"/>
                  <w:vAlign w:val="center"/>
                </w:tcPr>
                <w:p w14:paraId="4BBD220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声源</w:t>
                  </w:r>
                  <w:r>
                    <w:rPr>
                      <w:rFonts w:ascii="Times New Roman" w:hAnsi="Times New Roman" w:eastAsia="宋体" w:cs="Times New Roman"/>
                      <w:color w:val="auto"/>
                      <w:spacing w:val="0"/>
                      <w:sz w:val="21"/>
                      <w:szCs w:val="21"/>
                      <w:highlight w:val="none"/>
                    </w:rPr>
                    <w:t>控制措施</w:t>
                  </w:r>
                </w:p>
              </w:tc>
              <w:tc>
                <w:tcPr>
                  <w:tcW w:w="760" w:type="pct"/>
                  <w:gridSpan w:val="3"/>
                  <w:vAlign w:val="center"/>
                </w:tcPr>
                <w:p w14:paraId="46D5297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空间</w:t>
                  </w:r>
                  <w:r>
                    <w:rPr>
                      <w:rFonts w:ascii="Times New Roman" w:hAnsi="Times New Roman" w:eastAsia="宋体" w:cs="Times New Roman"/>
                      <w:color w:val="auto"/>
                      <w:spacing w:val="0"/>
                      <w:sz w:val="21"/>
                      <w:szCs w:val="21"/>
                      <w:highlight w:val="none"/>
                    </w:rPr>
                    <w:t>相对位置</w:t>
                  </w:r>
                  <w:r>
                    <w:rPr>
                      <w:rFonts w:hint="eastAsia" w:ascii="Times New Roman" w:hAnsi="Times New Roman" w:eastAsia="宋体" w:cs="Times New Roman"/>
                      <w:color w:val="auto"/>
                      <w:spacing w:val="0"/>
                      <w:sz w:val="21"/>
                      <w:szCs w:val="21"/>
                      <w:highlight w:val="none"/>
                    </w:rPr>
                    <w:t>/m</w:t>
                  </w:r>
                </w:p>
              </w:tc>
              <w:tc>
                <w:tcPr>
                  <w:tcW w:w="360" w:type="pct"/>
                  <w:vMerge w:val="restart"/>
                  <w:vAlign w:val="center"/>
                </w:tcPr>
                <w:p w14:paraId="2332721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距</w:t>
                  </w:r>
                  <w:r>
                    <w:rPr>
                      <w:rFonts w:ascii="Times New Roman" w:hAnsi="Times New Roman" w:eastAsia="宋体" w:cs="Times New Roman"/>
                      <w:color w:val="auto"/>
                      <w:spacing w:val="0"/>
                      <w:sz w:val="21"/>
                      <w:szCs w:val="21"/>
                      <w:highlight w:val="none"/>
                    </w:rPr>
                    <w:t>室内边界距离</w:t>
                  </w:r>
                  <w:r>
                    <w:rPr>
                      <w:rFonts w:hint="eastAsia" w:ascii="Times New Roman" w:hAnsi="Times New Roman" w:eastAsia="宋体" w:cs="Times New Roman"/>
                      <w:color w:val="auto"/>
                      <w:spacing w:val="0"/>
                      <w:sz w:val="21"/>
                      <w:szCs w:val="21"/>
                      <w:highlight w:val="none"/>
                    </w:rPr>
                    <w:t>/m</w:t>
                  </w:r>
                </w:p>
              </w:tc>
              <w:tc>
                <w:tcPr>
                  <w:tcW w:w="344" w:type="pct"/>
                  <w:vMerge w:val="restart"/>
                  <w:vAlign w:val="center"/>
                </w:tcPr>
                <w:p w14:paraId="194899C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室内</w:t>
                  </w:r>
                  <w:r>
                    <w:rPr>
                      <w:rFonts w:ascii="Times New Roman" w:hAnsi="Times New Roman" w:eastAsia="宋体" w:cs="Times New Roman"/>
                      <w:color w:val="auto"/>
                      <w:spacing w:val="0"/>
                      <w:sz w:val="21"/>
                      <w:szCs w:val="21"/>
                      <w:highlight w:val="none"/>
                    </w:rPr>
                    <w:t>边界声级</w:t>
                  </w:r>
                  <w:r>
                    <w:rPr>
                      <w:rFonts w:hint="eastAsia" w:ascii="Times New Roman" w:hAnsi="Times New Roman" w:eastAsia="宋体" w:cs="Times New Roman"/>
                      <w:color w:val="auto"/>
                      <w:spacing w:val="0"/>
                      <w:sz w:val="21"/>
                      <w:szCs w:val="21"/>
                      <w:highlight w:val="none"/>
                    </w:rPr>
                    <w:t>d</w:t>
                  </w:r>
                  <w:r>
                    <w:rPr>
                      <w:rFonts w:ascii="Times New Roman" w:hAnsi="Times New Roman" w:eastAsia="宋体" w:cs="Times New Roman"/>
                      <w:color w:val="auto"/>
                      <w:spacing w:val="0"/>
                      <w:sz w:val="21"/>
                      <w:szCs w:val="21"/>
                      <w:highlight w:val="none"/>
                    </w:rPr>
                    <w:t>B</w:t>
                  </w:r>
                  <w:r>
                    <w:rPr>
                      <w:rFonts w:hint="eastAsia" w:ascii="Times New Roman" w:hAnsi="Times New Roman" w:eastAsia="宋体" w:cs="Times New Roman"/>
                      <w:color w:val="auto"/>
                      <w:spacing w:val="0"/>
                      <w:sz w:val="21"/>
                      <w:szCs w:val="21"/>
                      <w:highlight w:val="none"/>
                    </w:rPr>
                    <w:t>(</w:t>
                  </w:r>
                  <w:r>
                    <w:rPr>
                      <w:rFonts w:ascii="Times New Roman" w:hAnsi="Times New Roman" w:eastAsia="宋体" w:cs="Times New Roman"/>
                      <w:color w:val="auto"/>
                      <w:spacing w:val="0"/>
                      <w:sz w:val="21"/>
                      <w:szCs w:val="21"/>
                      <w:highlight w:val="none"/>
                    </w:rPr>
                    <w:t>A</w:t>
                  </w:r>
                  <w:r>
                    <w:rPr>
                      <w:rFonts w:hint="eastAsia" w:ascii="Times New Roman" w:hAnsi="Times New Roman" w:eastAsia="宋体" w:cs="Times New Roman"/>
                      <w:color w:val="auto"/>
                      <w:spacing w:val="0"/>
                      <w:sz w:val="21"/>
                      <w:szCs w:val="21"/>
                      <w:highlight w:val="none"/>
                    </w:rPr>
                    <w:t>)</w:t>
                  </w:r>
                </w:p>
              </w:tc>
              <w:tc>
                <w:tcPr>
                  <w:tcW w:w="295" w:type="pct"/>
                  <w:vMerge w:val="restart"/>
                  <w:vAlign w:val="center"/>
                </w:tcPr>
                <w:p w14:paraId="7C429EF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运行</w:t>
                  </w:r>
                  <w:r>
                    <w:rPr>
                      <w:rFonts w:ascii="Times New Roman" w:hAnsi="Times New Roman" w:eastAsia="宋体" w:cs="Times New Roman"/>
                      <w:color w:val="auto"/>
                      <w:spacing w:val="0"/>
                      <w:sz w:val="21"/>
                      <w:szCs w:val="21"/>
                      <w:highlight w:val="none"/>
                    </w:rPr>
                    <w:t>时段</w:t>
                  </w:r>
                </w:p>
              </w:tc>
              <w:tc>
                <w:tcPr>
                  <w:tcW w:w="404" w:type="pct"/>
                  <w:vMerge w:val="restart"/>
                  <w:vAlign w:val="center"/>
                </w:tcPr>
                <w:p w14:paraId="426BC64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建筑物</w:t>
                  </w:r>
                  <w:r>
                    <w:rPr>
                      <w:rFonts w:ascii="Times New Roman" w:hAnsi="Times New Roman" w:eastAsia="宋体" w:cs="Times New Roman"/>
                      <w:color w:val="auto"/>
                      <w:spacing w:val="0"/>
                      <w:sz w:val="21"/>
                      <w:szCs w:val="21"/>
                      <w:highlight w:val="none"/>
                    </w:rPr>
                    <w:t>插入损失</w:t>
                  </w:r>
                  <w:r>
                    <w:rPr>
                      <w:rFonts w:hint="eastAsia" w:ascii="Times New Roman" w:hAnsi="Times New Roman" w:eastAsia="宋体" w:cs="Times New Roman"/>
                      <w:color w:val="auto"/>
                      <w:spacing w:val="0"/>
                      <w:sz w:val="21"/>
                      <w:szCs w:val="21"/>
                      <w:highlight w:val="none"/>
                    </w:rPr>
                    <w:t>d</w:t>
                  </w:r>
                  <w:r>
                    <w:rPr>
                      <w:rFonts w:ascii="Times New Roman" w:hAnsi="Times New Roman" w:eastAsia="宋体" w:cs="Times New Roman"/>
                      <w:color w:val="auto"/>
                      <w:spacing w:val="0"/>
                      <w:sz w:val="21"/>
                      <w:szCs w:val="21"/>
                      <w:highlight w:val="none"/>
                    </w:rPr>
                    <w:t>B</w:t>
                  </w:r>
                  <w:r>
                    <w:rPr>
                      <w:rFonts w:hint="eastAsia" w:ascii="Times New Roman" w:hAnsi="Times New Roman" w:eastAsia="宋体" w:cs="Times New Roman"/>
                      <w:color w:val="auto"/>
                      <w:spacing w:val="0"/>
                      <w:sz w:val="21"/>
                      <w:szCs w:val="21"/>
                      <w:highlight w:val="none"/>
                    </w:rPr>
                    <w:t>(</w:t>
                  </w:r>
                  <w:r>
                    <w:rPr>
                      <w:rFonts w:ascii="Times New Roman" w:hAnsi="Times New Roman" w:eastAsia="宋体" w:cs="Times New Roman"/>
                      <w:color w:val="auto"/>
                      <w:spacing w:val="0"/>
                      <w:sz w:val="21"/>
                      <w:szCs w:val="21"/>
                      <w:highlight w:val="none"/>
                    </w:rPr>
                    <w:t>A)</w:t>
                  </w:r>
                </w:p>
              </w:tc>
              <w:tc>
                <w:tcPr>
                  <w:tcW w:w="764" w:type="pct"/>
                  <w:gridSpan w:val="2"/>
                  <w:vAlign w:val="center"/>
                </w:tcPr>
                <w:p w14:paraId="03444AE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建筑物</w:t>
                  </w:r>
                  <w:r>
                    <w:rPr>
                      <w:rFonts w:ascii="Times New Roman" w:hAnsi="Times New Roman" w:eastAsia="宋体" w:cs="Times New Roman"/>
                      <w:color w:val="auto"/>
                      <w:spacing w:val="0"/>
                      <w:sz w:val="21"/>
                      <w:szCs w:val="21"/>
                      <w:highlight w:val="none"/>
                    </w:rPr>
                    <w:t>外噪声</w:t>
                  </w:r>
                </w:p>
              </w:tc>
            </w:tr>
            <w:tr w14:paraId="75A6B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90" w:type="pct"/>
                  <w:vMerge w:val="continue"/>
                  <w:vAlign w:val="center"/>
                </w:tcPr>
                <w:p w14:paraId="676F915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366" w:type="pct"/>
                  <w:vMerge w:val="continue"/>
                  <w:vAlign w:val="center"/>
                </w:tcPr>
                <w:p w14:paraId="2D5DE7E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530" w:type="pct"/>
                  <w:vMerge w:val="continue"/>
                  <w:vAlign w:val="center"/>
                </w:tcPr>
                <w:p w14:paraId="5B4E5B3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273" w:type="pct"/>
                  <w:vMerge w:val="continue"/>
                  <w:vAlign w:val="center"/>
                </w:tcPr>
                <w:p w14:paraId="7E3987C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305" w:type="pct"/>
                  <w:vMerge w:val="continue"/>
                  <w:vAlign w:val="center"/>
                </w:tcPr>
                <w:p w14:paraId="0553846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404" w:type="pct"/>
                  <w:vMerge w:val="continue"/>
                  <w:vAlign w:val="center"/>
                </w:tcPr>
                <w:p w14:paraId="1E6E4AA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253" w:type="pct"/>
                  <w:vAlign w:val="center"/>
                </w:tcPr>
                <w:p w14:paraId="4FED156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X</w:t>
                  </w:r>
                </w:p>
              </w:tc>
              <w:tc>
                <w:tcPr>
                  <w:tcW w:w="253" w:type="pct"/>
                  <w:vAlign w:val="center"/>
                </w:tcPr>
                <w:p w14:paraId="474FA0A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Y</w:t>
                  </w:r>
                </w:p>
              </w:tc>
              <w:tc>
                <w:tcPr>
                  <w:tcW w:w="254" w:type="pct"/>
                  <w:vAlign w:val="center"/>
                </w:tcPr>
                <w:p w14:paraId="0B5CC16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Z</w:t>
                  </w:r>
                </w:p>
              </w:tc>
              <w:tc>
                <w:tcPr>
                  <w:tcW w:w="360" w:type="pct"/>
                  <w:vMerge w:val="continue"/>
                  <w:vAlign w:val="center"/>
                </w:tcPr>
                <w:p w14:paraId="4133CA7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344" w:type="pct"/>
                  <w:vMerge w:val="continue"/>
                  <w:vAlign w:val="center"/>
                </w:tcPr>
                <w:p w14:paraId="17036ED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295" w:type="pct"/>
                  <w:vMerge w:val="continue"/>
                  <w:vAlign w:val="center"/>
                </w:tcPr>
                <w:p w14:paraId="0A709F3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404" w:type="pct"/>
                  <w:vMerge w:val="continue"/>
                  <w:vAlign w:val="center"/>
                </w:tcPr>
                <w:p w14:paraId="1EC9968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p>
              </w:tc>
              <w:tc>
                <w:tcPr>
                  <w:tcW w:w="349" w:type="pct"/>
                  <w:vAlign w:val="center"/>
                </w:tcPr>
                <w:p w14:paraId="23ECA44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ascii="Times New Roman" w:hAnsi="Times New Roman" w:eastAsia="宋体" w:cs="Times New Roman"/>
                      <w:color w:val="auto"/>
                      <w:spacing w:val="0"/>
                      <w:sz w:val="21"/>
                      <w:szCs w:val="21"/>
                      <w:highlight w:val="none"/>
                    </w:rPr>
                  </w:pPr>
                  <w:r>
                    <w:rPr>
                      <w:rFonts w:hint="eastAsia" w:ascii="Times New Roman" w:hAnsi="Times New Roman" w:eastAsia="宋体" w:cs="Times New Roman"/>
                      <w:color w:val="auto"/>
                      <w:spacing w:val="0"/>
                      <w:sz w:val="21"/>
                      <w:szCs w:val="21"/>
                      <w:highlight w:val="none"/>
                    </w:rPr>
                    <w:t>声压级dB(A)</w:t>
                  </w:r>
                </w:p>
              </w:tc>
              <w:tc>
                <w:tcPr>
                  <w:tcW w:w="414" w:type="pct"/>
                  <w:vAlign w:val="center"/>
                </w:tcPr>
                <w:p w14:paraId="3D52733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rPr>
                    <w:t>建筑物</w:t>
                  </w:r>
                  <w:r>
                    <w:rPr>
                      <w:rFonts w:ascii="Times New Roman" w:hAnsi="Times New Roman" w:eastAsia="宋体" w:cs="Times New Roman"/>
                      <w:color w:val="auto"/>
                      <w:spacing w:val="0"/>
                      <w:sz w:val="21"/>
                      <w:szCs w:val="21"/>
                      <w:highlight w:val="none"/>
                    </w:rPr>
                    <w:t>外距离</w:t>
                  </w:r>
                  <w:r>
                    <w:rPr>
                      <w:rFonts w:hint="eastAsia" w:ascii="Times New Roman" w:hAnsi="Times New Roman" w:eastAsia="宋体" w:cs="Times New Roman"/>
                      <w:color w:val="auto"/>
                      <w:spacing w:val="0"/>
                      <w:sz w:val="21"/>
                      <w:szCs w:val="21"/>
                      <w:highlight w:val="none"/>
                      <w:lang w:val="en-US" w:eastAsia="zh-CN"/>
                    </w:rPr>
                    <w:t>m</w:t>
                  </w:r>
                </w:p>
              </w:tc>
            </w:tr>
            <w:tr w14:paraId="57B4F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90" w:type="pct"/>
                  <w:shd w:val="clear" w:color="auto" w:fill="auto"/>
                  <w:vAlign w:val="center"/>
                </w:tcPr>
                <w:p w14:paraId="082C904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kern w:val="2"/>
                      <w:sz w:val="21"/>
                      <w:szCs w:val="21"/>
                      <w:highlight w:val="none"/>
                      <w:lang w:val="en-US" w:eastAsia="zh-CN" w:bidi="ar-SA"/>
                    </w:rPr>
                  </w:pPr>
                  <w:r>
                    <w:rPr>
                      <w:rFonts w:hint="eastAsia" w:ascii="Times New Roman" w:hAnsi="Times New Roman" w:eastAsia="宋体" w:cs="Times New Roman"/>
                      <w:color w:val="auto"/>
                      <w:spacing w:val="0"/>
                      <w:sz w:val="21"/>
                      <w:szCs w:val="21"/>
                      <w:highlight w:val="none"/>
                      <w:lang w:val="en-US" w:eastAsia="zh-CN"/>
                    </w:rPr>
                    <w:t>1</w:t>
                  </w:r>
                </w:p>
              </w:tc>
              <w:tc>
                <w:tcPr>
                  <w:tcW w:w="366" w:type="pct"/>
                  <w:vMerge w:val="restart"/>
                  <w:vAlign w:val="center"/>
                </w:tcPr>
                <w:p w14:paraId="4B05B8C4">
                  <w:pPr>
                    <w:keepNext w:val="0"/>
                    <w:keepLines w:val="0"/>
                    <w:pageBreakBefore w:val="0"/>
                    <w:widowControl w:val="0"/>
                    <w:kinsoku/>
                    <w:wordWrap/>
                    <w:overflowPunct/>
                    <w:topLinePunct w:val="0"/>
                    <w:bidi w:val="0"/>
                    <w:adjustRightInd w:val="0"/>
                    <w:snapToGrid w:val="0"/>
                    <w:spacing w:line="240" w:lineRule="auto"/>
                    <w:jc w:val="center"/>
                    <w:textAlignment w:val="auto"/>
                    <w:rPr>
                      <w:rFonts w:hint="default" w:ascii="Calibri" w:hAnsi="Calibri" w:eastAsia="宋体" w:cs="Times New Roman"/>
                      <w:color w:val="auto"/>
                      <w:spacing w:val="0"/>
                      <w:kern w:val="0"/>
                      <w:sz w:val="21"/>
                      <w:szCs w:val="21"/>
                      <w:highlight w:val="none"/>
                      <w:lang w:val="en-US" w:eastAsia="zh-CN"/>
                    </w:rPr>
                  </w:pPr>
                  <w:r>
                    <w:rPr>
                      <w:rFonts w:hint="eastAsia" w:ascii="Calibri" w:hAnsi="Calibri" w:cs="Times New Roman"/>
                      <w:color w:val="auto"/>
                      <w:spacing w:val="0"/>
                      <w:kern w:val="0"/>
                      <w:sz w:val="21"/>
                      <w:szCs w:val="21"/>
                      <w:highlight w:val="none"/>
                      <w:lang w:val="en-US" w:eastAsia="zh-CN"/>
                    </w:rPr>
                    <w:t>锅炉房</w:t>
                  </w:r>
                </w:p>
              </w:tc>
              <w:tc>
                <w:tcPr>
                  <w:tcW w:w="530" w:type="pct"/>
                  <w:shd w:val="clear" w:color="auto" w:fill="auto"/>
                  <w:vAlign w:val="center"/>
                </w:tcPr>
                <w:p w14:paraId="2882F61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ascii="Calibri" w:hAnsi="Calibri" w:cs="Times New Roman"/>
                      <w:color w:val="auto"/>
                      <w:spacing w:val="0"/>
                      <w:kern w:val="0"/>
                      <w:sz w:val="21"/>
                      <w:szCs w:val="21"/>
                      <w:highlight w:val="none"/>
                      <w:lang w:val="en-US" w:eastAsia="zh-CN"/>
                    </w:rPr>
                    <w:t>循环泵</w:t>
                  </w:r>
                </w:p>
              </w:tc>
              <w:tc>
                <w:tcPr>
                  <w:tcW w:w="273" w:type="pct"/>
                  <w:shd w:val="clear" w:color="auto" w:fill="auto"/>
                  <w:vAlign w:val="center"/>
                </w:tcPr>
                <w:p w14:paraId="5182B6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sz w:val="21"/>
                      <w:szCs w:val="21"/>
                      <w:highlight w:val="none"/>
                      <w:lang w:val="en-US" w:eastAsia="zh-CN"/>
                    </w:rPr>
                    <w:t>2</w:t>
                  </w:r>
                </w:p>
              </w:tc>
              <w:tc>
                <w:tcPr>
                  <w:tcW w:w="305" w:type="pct"/>
                  <w:shd w:val="clear" w:color="auto" w:fill="auto"/>
                  <w:vAlign w:val="center"/>
                </w:tcPr>
                <w:p w14:paraId="0D1FF2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80</w:t>
                  </w:r>
                </w:p>
              </w:tc>
              <w:tc>
                <w:tcPr>
                  <w:tcW w:w="404" w:type="pct"/>
                  <w:vMerge w:val="restart"/>
                  <w:vAlign w:val="center"/>
                </w:tcPr>
                <w:p w14:paraId="1E4EFBE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rPr>
                  </w:pPr>
                  <w:r>
                    <w:rPr>
                      <w:rFonts w:hint="eastAsia" w:cs="Times New Roman"/>
                      <w:color w:val="auto"/>
                      <w:spacing w:val="0"/>
                      <w:sz w:val="21"/>
                      <w:szCs w:val="21"/>
                      <w:highlight w:val="none"/>
                      <w:lang w:val="en-US" w:eastAsia="zh-CN"/>
                    </w:rPr>
                    <w:t>低噪声设备；</w:t>
                  </w:r>
                  <w:r>
                    <w:rPr>
                      <w:rFonts w:hint="eastAsia" w:ascii="Times New Roman" w:hAnsi="Times New Roman" w:eastAsia="宋体" w:cs="Times New Roman"/>
                      <w:color w:val="auto"/>
                      <w:spacing w:val="0"/>
                      <w:sz w:val="21"/>
                      <w:szCs w:val="21"/>
                      <w:highlight w:val="none"/>
                    </w:rPr>
                    <w:t>减振；</w:t>
                  </w:r>
                  <w:r>
                    <w:rPr>
                      <w:rFonts w:hint="eastAsia" w:ascii="Times New Roman" w:hAnsi="Times New Roman" w:eastAsia="宋体" w:cs="Times New Roman"/>
                      <w:color w:val="auto"/>
                      <w:spacing w:val="0"/>
                      <w:sz w:val="21"/>
                      <w:szCs w:val="21"/>
                      <w:highlight w:val="none"/>
                      <w:lang w:val="en-US" w:eastAsia="zh-CN"/>
                    </w:rPr>
                    <w:t>隔声；定期维护</w:t>
                  </w:r>
                </w:p>
              </w:tc>
              <w:tc>
                <w:tcPr>
                  <w:tcW w:w="253" w:type="pct"/>
                  <w:vAlign w:val="center"/>
                </w:tcPr>
                <w:p w14:paraId="072A35A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362</w:t>
                  </w:r>
                </w:p>
              </w:tc>
              <w:tc>
                <w:tcPr>
                  <w:tcW w:w="253" w:type="pct"/>
                  <w:vAlign w:val="center"/>
                </w:tcPr>
                <w:p w14:paraId="2E8E439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-255</w:t>
                  </w:r>
                </w:p>
              </w:tc>
              <w:tc>
                <w:tcPr>
                  <w:tcW w:w="254" w:type="pct"/>
                  <w:vAlign w:val="center"/>
                </w:tcPr>
                <w:p w14:paraId="7814227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w:t>
                  </w:r>
                </w:p>
              </w:tc>
              <w:tc>
                <w:tcPr>
                  <w:tcW w:w="360" w:type="pct"/>
                  <w:vAlign w:val="center"/>
                </w:tcPr>
                <w:p w14:paraId="20BA581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0DF1922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76.8</w:t>
                  </w:r>
                </w:p>
              </w:tc>
              <w:tc>
                <w:tcPr>
                  <w:tcW w:w="295" w:type="pct"/>
                  <w:vMerge w:val="restart"/>
                  <w:vAlign w:val="center"/>
                </w:tcPr>
                <w:p w14:paraId="58E06B3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olor w:val="auto"/>
                      <w:spacing w:val="0"/>
                      <w:sz w:val="21"/>
                      <w:szCs w:val="21"/>
                      <w:highlight w:val="none"/>
                      <w:lang w:val="en-US" w:eastAsia="zh-CN"/>
                    </w:rPr>
                    <w:t>0</w:t>
                  </w:r>
                  <w:r>
                    <w:rPr>
                      <w:rFonts w:hint="eastAsia" w:eastAsia="宋体"/>
                      <w:color w:val="auto"/>
                      <w:spacing w:val="0"/>
                      <w:sz w:val="21"/>
                      <w:szCs w:val="21"/>
                      <w:highlight w:val="none"/>
                      <w:lang w:val="en-US" w:eastAsia="zh-CN"/>
                    </w:rPr>
                    <w:t>:00~</w:t>
                  </w:r>
                  <w:r>
                    <w:rPr>
                      <w:rFonts w:hint="eastAsia"/>
                      <w:color w:val="auto"/>
                      <w:spacing w:val="0"/>
                      <w:sz w:val="21"/>
                      <w:szCs w:val="21"/>
                      <w:highlight w:val="none"/>
                      <w:lang w:val="en-US" w:eastAsia="zh-CN"/>
                    </w:rPr>
                    <w:t>24</w:t>
                  </w:r>
                  <w:r>
                    <w:rPr>
                      <w:rFonts w:hint="eastAsia" w:eastAsia="宋体"/>
                      <w:color w:val="auto"/>
                      <w:spacing w:val="0"/>
                      <w:sz w:val="21"/>
                      <w:szCs w:val="21"/>
                      <w:highlight w:val="none"/>
                      <w:lang w:val="en-US" w:eastAsia="zh-CN"/>
                    </w:rPr>
                    <w:t>:00</w:t>
                  </w:r>
                </w:p>
              </w:tc>
              <w:tc>
                <w:tcPr>
                  <w:tcW w:w="404" w:type="pct"/>
                  <w:vAlign w:val="center"/>
                </w:tcPr>
                <w:p w14:paraId="03ACADD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20</w:t>
                  </w:r>
                </w:p>
              </w:tc>
              <w:tc>
                <w:tcPr>
                  <w:tcW w:w="349" w:type="pct"/>
                  <w:vAlign w:val="center"/>
                </w:tcPr>
                <w:p w14:paraId="43D156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56.8</w:t>
                  </w:r>
                </w:p>
              </w:tc>
              <w:tc>
                <w:tcPr>
                  <w:tcW w:w="414" w:type="pct"/>
                  <w:vAlign w:val="center"/>
                </w:tcPr>
                <w:p w14:paraId="7D97850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1AA8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90" w:type="pct"/>
                  <w:shd w:val="clear" w:color="auto" w:fill="auto"/>
                  <w:vAlign w:val="center"/>
                </w:tcPr>
                <w:p w14:paraId="4A1382C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w:t>
                  </w:r>
                </w:p>
              </w:tc>
              <w:tc>
                <w:tcPr>
                  <w:tcW w:w="366" w:type="pct"/>
                  <w:vMerge w:val="continue"/>
                  <w:vAlign w:val="center"/>
                </w:tcPr>
                <w:p w14:paraId="1E6EE9D8">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Calibri" w:hAnsi="Calibri" w:cs="Times New Roman"/>
                      <w:color w:val="auto"/>
                      <w:spacing w:val="0"/>
                      <w:kern w:val="0"/>
                      <w:sz w:val="21"/>
                      <w:szCs w:val="21"/>
                      <w:highlight w:val="none"/>
                      <w:lang w:val="en-US" w:eastAsia="zh-CN"/>
                    </w:rPr>
                  </w:pPr>
                </w:p>
              </w:tc>
              <w:tc>
                <w:tcPr>
                  <w:tcW w:w="530" w:type="pct"/>
                  <w:shd w:val="clear" w:color="auto" w:fill="auto"/>
                  <w:vAlign w:val="center"/>
                </w:tcPr>
                <w:p w14:paraId="4827AC5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补水泵</w:t>
                  </w:r>
                </w:p>
              </w:tc>
              <w:tc>
                <w:tcPr>
                  <w:tcW w:w="273" w:type="pct"/>
                  <w:shd w:val="clear" w:color="auto" w:fill="auto"/>
                  <w:vAlign w:val="center"/>
                </w:tcPr>
                <w:p w14:paraId="5C3054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w:t>
                  </w:r>
                </w:p>
              </w:tc>
              <w:tc>
                <w:tcPr>
                  <w:tcW w:w="305" w:type="pct"/>
                  <w:shd w:val="clear" w:color="auto" w:fill="auto"/>
                  <w:vAlign w:val="center"/>
                </w:tcPr>
                <w:p w14:paraId="52D13E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80</w:t>
                  </w:r>
                </w:p>
              </w:tc>
              <w:tc>
                <w:tcPr>
                  <w:tcW w:w="404" w:type="pct"/>
                  <w:vMerge w:val="continue"/>
                  <w:vAlign w:val="center"/>
                </w:tcPr>
                <w:p w14:paraId="0E534C1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rPr>
                  </w:pPr>
                </w:p>
              </w:tc>
              <w:tc>
                <w:tcPr>
                  <w:tcW w:w="253" w:type="pct"/>
                  <w:vAlign w:val="center"/>
                </w:tcPr>
                <w:p w14:paraId="7E0220D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359</w:t>
                  </w:r>
                </w:p>
              </w:tc>
              <w:tc>
                <w:tcPr>
                  <w:tcW w:w="253" w:type="pct"/>
                  <w:vAlign w:val="center"/>
                </w:tcPr>
                <w:p w14:paraId="1ECFD06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-248</w:t>
                  </w:r>
                </w:p>
              </w:tc>
              <w:tc>
                <w:tcPr>
                  <w:tcW w:w="254" w:type="pct"/>
                  <w:vAlign w:val="center"/>
                </w:tcPr>
                <w:p w14:paraId="2698B93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w:t>
                  </w:r>
                </w:p>
              </w:tc>
              <w:tc>
                <w:tcPr>
                  <w:tcW w:w="360" w:type="pct"/>
                  <w:vAlign w:val="center"/>
                </w:tcPr>
                <w:p w14:paraId="307DBA1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505ED05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76.8</w:t>
                  </w:r>
                </w:p>
              </w:tc>
              <w:tc>
                <w:tcPr>
                  <w:tcW w:w="295" w:type="pct"/>
                  <w:vMerge w:val="continue"/>
                  <w:vAlign w:val="center"/>
                </w:tcPr>
                <w:p w14:paraId="41DBF6A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eastAsia="宋体"/>
                      <w:color w:val="auto"/>
                      <w:spacing w:val="0"/>
                      <w:sz w:val="21"/>
                      <w:szCs w:val="21"/>
                      <w:highlight w:val="none"/>
                      <w:lang w:val="en-US" w:eastAsia="zh-CN"/>
                    </w:rPr>
                  </w:pPr>
                </w:p>
              </w:tc>
              <w:tc>
                <w:tcPr>
                  <w:tcW w:w="404" w:type="pct"/>
                  <w:vAlign w:val="center"/>
                </w:tcPr>
                <w:p w14:paraId="07C1088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349" w:type="pct"/>
                  <w:vAlign w:val="center"/>
                </w:tcPr>
                <w:p w14:paraId="0BA5890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56.8</w:t>
                  </w:r>
                </w:p>
              </w:tc>
              <w:tc>
                <w:tcPr>
                  <w:tcW w:w="414" w:type="pct"/>
                  <w:vAlign w:val="center"/>
                </w:tcPr>
                <w:p w14:paraId="35E24AE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lang w:val="en-US" w:eastAsia="zh-CN"/>
                    </w:rPr>
                  </w:pPr>
                  <w:r>
                    <w:rPr>
                      <w:rFonts w:hint="eastAsia" w:ascii="Times New Roman" w:hAnsi="Times New Roman" w:eastAsia="宋体" w:cs="Times New Roman"/>
                      <w:color w:val="auto"/>
                      <w:spacing w:val="0"/>
                      <w:sz w:val="21"/>
                      <w:szCs w:val="21"/>
                      <w:highlight w:val="none"/>
                      <w:lang w:val="en-US" w:eastAsia="zh-CN"/>
                    </w:rPr>
                    <w:t>1</w:t>
                  </w:r>
                </w:p>
              </w:tc>
            </w:tr>
            <w:tr w14:paraId="70F1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 w:type="pct"/>
                  <w:shd w:val="clear" w:color="auto" w:fill="auto"/>
                  <w:vAlign w:val="center"/>
                </w:tcPr>
                <w:p w14:paraId="2727739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w:t>
                  </w:r>
                </w:p>
              </w:tc>
              <w:tc>
                <w:tcPr>
                  <w:tcW w:w="366" w:type="pct"/>
                  <w:vMerge w:val="continue"/>
                  <w:vAlign w:val="center"/>
                </w:tcPr>
                <w:p w14:paraId="3145AA00">
                  <w:pPr>
                    <w:keepNext w:val="0"/>
                    <w:keepLines w:val="0"/>
                    <w:pageBreakBefore w:val="0"/>
                    <w:widowControl w:val="0"/>
                    <w:kinsoku/>
                    <w:wordWrap/>
                    <w:overflowPunct/>
                    <w:topLinePunct w:val="0"/>
                    <w:bidi w:val="0"/>
                    <w:adjustRightInd w:val="0"/>
                    <w:snapToGrid w:val="0"/>
                    <w:spacing w:line="240" w:lineRule="auto"/>
                    <w:jc w:val="center"/>
                    <w:textAlignment w:val="auto"/>
                    <w:rPr>
                      <w:rFonts w:hint="eastAsia" w:ascii="Calibri" w:hAnsi="Calibri" w:cs="Times New Roman"/>
                      <w:color w:val="auto"/>
                      <w:spacing w:val="0"/>
                      <w:kern w:val="0"/>
                      <w:sz w:val="21"/>
                      <w:szCs w:val="21"/>
                      <w:highlight w:val="none"/>
                      <w:lang w:val="en-US" w:eastAsia="zh-CN"/>
                    </w:rPr>
                  </w:pPr>
                </w:p>
              </w:tc>
              <w:tc>
                <w:tcPr>
                  <w:tcW w:w="530" w:type="pct"/>
                  <w:shd w:val="clear" w:color="auto" w:fill="auto"/>
                  <w:vAlign w:val="center"/>
                </w:tcPr>
                <w:p w14:paraId="539C2C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鼓风机</w:t>
                  </w:r>
                </w:p>
              </w:tc>
              <w:tc>
                <w:tcPr>
                  <w:tcW w:w="273" w:type="pct"/>
                  <w:shd w:val="clear" w:color="auto" w:fill="auto"/>
                  <w:vAlign w:val="center"/>
                </w:tcPr>
                <w:p w14:paraId="0CB21A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05" w:type="pct"/>
                  <w:shd w:val="clear" w:color="auto" w:fill="auto"/>
                  <w:vAlign w:val="center"/>
                </w:tcPr>
                <w:p w14:paraId="5A49C46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85</w:t>
                  </w:r>
                </w:p>
              </w:tc>
              <w:tc>
                <w:tcPr>
                  <w:tcW w:w="404" w:type="pct"/>
                  <w:vMerge w:val="continue"/>
                  <w:vAlign w:val="center"/>
                </w:tcPr>
                <w:p w14:paraId="6A25903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spacing w:val="0"/>
                      <w:sz w:val="21"/>
                      <w:szCs w:val="21"/>
                      <w:highlight w:val="none"/>
                    </w:rPr>
                  </w:pPr>
                </w:p>
              </w:tc>
              <w:tc>
                <w:tcPr>
                  <w:tcW w:w="253" w:type="pct"/>
                  <w:vAlign w:val="center"/>
                </w:tcPr>
                <w:p w14:paraId="77EC7E0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358</w:t>
                  </w:r>
                </w:p>
              </w:tc>
              <w:tc>
                <w:tcPr>
                  <w:tcW w:w="253" w:type="pct"/>
                  <w:vAlign w:val="center"/>
                </w:tcPr>
                <w:p w14:paraId="0536AC5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-260</w:t>
                  </w:r>
                </w:p>
              </w:tc>
              <w:tc>
                <w:tcPr>
                  <w:tcW w:w="254" w:type="pct"/>
                  <w:vAlign w:val="center"/>
                </w:tcPr>
                <w:p w14:paraId="43C5EEE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0</w:t>
                  </w:r>
                </w:p>
              </w:tc>
              <w:tc>
                <w:tcPr>
                  <w:tcW w:w="360" w:type="pct"/>
                  <w:vAlign w:val="center"/>
                </w:tcPr>
                <w:p w14:paraId="33CE210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c>
                <w:tcPr>
                  <w:tcW w:w="344" w:type="pct"/>
                  <w:vAlign w:val="center"/>
                </w:tcPr>
                <w:p w14:paraId="7E20AAD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81.8</w:t>
                  </w:r>
                </w:p>
              </w:tc>
              <w:tc>
                <w:tcPr>
                  <w:tcW w:w="295" w:type="pct"/>
                  <w:vMerge w:val="continue"/>
                  <w:vAlign w:val="center"/>
                </w:tcPr>
                <w:p w14:paraId="6E142BF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eastAsia="宋体"/>
                      <w:color w:val="auto"/>
                      <w:spacing w:val="0"/>
                      <w:sz w:val="21"/>
                      <w:szCs w:val="21"/>
                      <w:highlight w:val="none"/>
                      <w:lang w:val="en-US" w:eastAsia="zh-CN"/>
                    </w:rPr>
                  </w:pPr>
                </w:p>
              </w:tc>
              <w:tc>
                <w:tcPr>
                  <w:tcW w:w="404" w:type="pct"/>
                  <w:vAlign w:val="center"/>
                </w:tcPr>
                <w:p w14:paraId="4CD3C25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20</w:t>
                  </w:r>
                </w:p>
              </w:tc>
              <w:tc>
                <w:tcPr>
                  <w:tcW w:w="349" w:type="pct"/>
                  <w:vAlign w:val="center"/>
                </w:tcPr>
                <w:p w14:paraId="6B7158B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61.8</w:t>
                  </w:r>
                </w:p>
              </w:tc>
              <w:tc>
                <w:tcPr>
                  <w:tcW w:w="414" w:type="pct"/>
                  <w:vAlign w:val="center"/>
                </w:tcPr>
                <w:p w14:paraId="1A7933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spacing w:val="0"/>
                      <w:sz w:val="21"/>
                      <w:szCs w:val="21"/>
                      <w:highlight w:val="none"/>
                      <w:lang w:val="en-US" w:eastAsia="zh-CN"/>
                    </w:rPr>
                  </w:pPr>
                  <w:r>
                    <w:rPr>
                      <w:rFonts w:hint="eastAsia" w:cs="Times New Roman"/>
                      <w:color w:val="auto"/>
                      <w:spacing w:val="0"/>
                      <w:sz w:val="21"/>
                      <w:szCs w:val="21"/>
                      <w:highlight w:val="none"/>
                      <w:lang w:val="en-US" w:eastAsia="zh-CN"/>
                    </w:rPr>
                    <w:t>1</w:t>
                  </w:r>
                </w:p>
              </w:tc>
            </w:tr>
          </w:tbl>
          <w:p w14:paraId="268998EA">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spacing w:val="0"/>
                <w:kern w:val="2"/>
                <w:sz w:val="21"/>
                <w:szCs w:val="21"/>
                <w:highlight w:val="none"/>
                <w:lang w:val="en-US" w:eastAsia="zh-CN" w:bidi="ar-SA"/>
              </w:rPr>
            </w:pPr>
          </w:p>
          <w:p w14:paraId="21BD4C9A">
            <w:pPr>
              <w:keepNext w:val="0"/>
              <w:keepLines w:val="0"/>
              <w:pageBreakBefore w:val="0"/>
              <w:widowControl w:val="0"/>
              <w:kinsoku/>
              <w:wordWrap/>
              <w:overflowPunct/>
              <w:topLinePunct w:val="0"/>
              <w:autoSpaceDE/>
              <w:autoSpaceDN/>
              <w:bidi w:val="0"/>
              <w:adjustRightInd w:val="0"/>
              <w:snapToGrid w:val="0"/>
              <w:spacing w:line="480" w:lineRule="exact"/>
              <w:jc w:val="both"/>
              <w:textAlignment w:val="auto"/>
              <w:rPr>
                <w:rFonts w:hint="eastAsia" w:ascii="Times New Roman" w:hAnsi="Times New Roman" w:eastAsia="宋体" w:cs="Times New Roman"/>
                <w:b/>
                <w:bCs w:val="0"/>
                <w:color w:val="auto"/>
                <w:spacing w:val="-10"/>
                <w:sz w:val="24"/>
                <w:szCs w:val="24"/>
                <w:highlight w:val="none"/>
                <w:vertAlign w:val="baseline"/>
                <w:lang w:val="en-US" w:eastAsia="zh-CN"/>
              </w:rPr>
            </w:pPr>
          </w:p>
        </w:tc>
      </w:tr>
    </w:tbl>
    <w:p w14:paraId="55798E92">
      <w:pPr>
        <w:rPr>
          <w:rFonts w:hint="default"/>
          <w:color w:val="auto"/>
          <w:highlight w:val="none"/>
        </w:rPr>
        <w:sectPr>
          <w:pgSz w:w="16840" w:h="11907" w:orient="landscape"/>
          <w:pgMar w:top="1531" w:right="1701" w:bottom="1531" w:left="2127"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8221"/>
      </w:tblGrid>
      <w:tr w14:paraId="0C2E0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0" w:type="dxa"/>
            <w:vAlign w:val="center"/>
          </w:tcPr>
          <w:p w14:paraId="30E983A5">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运营</w:t>
            </w:r>
          </w:p>
          <w:p w14:paraId="34A015D5">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期环</w:t>
            </w:r>
          </w:p>
          <w:p w14:paraId="7306A56B">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境影</w:t>
            </w:r>
          </w:p>
          <w:p w14:paraId="4C9C71D2">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响和</w:t>
            </w:r>
          </w:p>
          <w:p w14:paraId="2426E15E">
            <w:pPr>
              <w:adjustRightInd w:val="0"/>
              <w:snapToGrid w:val="0"/>
              <w:jc w:val="center"/>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lang w:val="en-US" w:eastAsia="zh-CN"/>
              </w:rPr>
              <w:t>保护</w:t>
            </w:r>
          </w:p>
          <w:p w14:paraId="5D1B90FC">
            <w:pPr>
              <w:jc w:val="center"/>
              <w:rPr>
                <w:rFonts w:hint="default"/>
                <w:color w:val="auto"/>
                <w:highlight w:val="none"/>
                <w:vertAlign w:val="baseline"/>
              </w:rPr>
            </w:pPr>
            <w:r>
              <w:rPr>
                <w:rFonts w:hint="default" w:ascii="Times New Roman" w:hAnsi="Times New Roman" w:eastAsia="宋体" w:cs="Times New Roman"/>
                <w:bCs/>
                <w:color w:val="auto"/>
                <w:szCs w:val="21"/>
                <w:highlight w:val="none"/>
                <w:lang w:val="en-US" w:eastAsia="zh-CN"/>
              </w:rPr>
              <w:t>措施</w:t>
            </w:r>
          </w:p>
        </w:tc>
        <w:tc>
          <w:tcPr>
            <w:tcW w:w="8221" w:type="dxa"/>
          </w:tcPr>
          <w:p w14:paraId="4C7A9DCE">
            <w:pPr>
              <w:spacing w:line="460" w:lineRule="exact"/>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噪声预测</w:t>
            </w:r>
          </w:p>
          <w:p w14:paraId="3C3BDD9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eastAsia="zh-CN"/>
              </w:rPr>
            </w:pPr>
            <w:r>
              <w:rPr>
                <w:rFonts w:ascii="Times New Roman" w:hAnsi="Times New Roman" w:eastAsia="宋体" w:cs="Times New Roman"/>
                <w:bCs/>
                <w:color w:val="auto"/>
                <w:spacing w:val="0"/>
                <w:sz w:val="24"/>
                <w:szCs w:val="24"/>
                <w:highlight w:val="none"/>
              </w:rPr>
              <w:t>本次预测采用《环境影响评价技术导则</w:t>
            </w:r>
            <w:r>
              <w:rPr>
                <w:rFonts w:hint="eastAsia" w:ascii="Times New Roman" w:hAnsi="Times New Roman" w:eastAsia="宋体" w:cs="Times New Roman"/>
                <w:bCs/>
                <w:color w:val="auto"/>
                <w:spacing w:val="0"/>
                <w:sz w:val="24"/>
                <w:szCs w:val="24"/>
                <w:highlight w:val="none"/>
                <w:lang w:val="en-US" w:eastAsia="zh-CN"/>
              </w:rPr>
              <w:t xml:space="preserve"> </w:t>
            </w:r>
            <w:r>
              <w:rPr>
                <w:rFonts w:ascii="Times New Roman" w:hAnsi="Times New Roman" w:eastAsia="宋体" w:cs="Times New Roman"/>
                <w:bCs/>
                <w:color w:val="auto"/>
                <w:spacing w:val="0"/>
                <w:sz w:val="24"/>
                <w:szCs w:val="24"/>
                <w:highlight w:val="none"/>
              </w:rPr>
              <w:t>声环境》（HJ2.4-2021）中推荐的工业噪声预测计算模式</w:t>
            </w:r>
            <w:r>
              <w:rPr>
                <w:rFonts w:hint="eastAsia" w:ascii="Times New Roman" w:hAnsi="Times New Roman" w:eastAsia="宋体" w:cs="Times New Roman"/>
                <w:bCs/>
                <w:color w:val="auto"/>
                <w:spacing w:val="0"/>
                <w:sz w:val="24"/>
                <w:szCs w:val="24"/>
                <w:highlight w:val="none"/>
                <w:lang w:eastAsia="zh-CN"/>
              </w:rPr>
              <w:t>。</w:t>
            </w:r>
          </w:p>
          <w:p w14:paraId="2E4C9B4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（1）预测点A声级</w:t>
            </w:r>
            <w:r>
              <w:rPr>
                <w:rFonts w:ascii="Cambria Math" w:hAnsi="Cambria Math" w:eastAsia="宋体" w:cs="Cambria Math"/>
                <w:bCs/>
                <w:color w:val="auto"/>
                <w:spacing w:val="0"/>
                <w:sz w:val="24"/>
                <w:szCs w:val="24"/>
                <w:highlight w:val="none"/>
              </w:rPr>
              <w:t>𝐿</w:t>
            </w:r>
            <w:r>
              <w:rPr>
                <w:rFonts w:ascii="Cambria Math" w:hAnsi="Cambria Math" w:eastAsia="宋体" w:cs="Cambria Math"/>
                <w:bCs/>
                <w:color w:val="auto"/>
                <w:spacing w:val="0"/>
                <w:sz w:val="24"/>
                <w:szCs w:val="24"/>
                <w:highlight w:val="none"/>
                <w:vertAlign w:val="subscript"/>
              </w:rPr>
              <w:t>𝐴</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)计算公式：</w:t>
            </w:r>
          </w:p>
          <w:p w14:paraId="75EFA76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eastAsia="zh-CN"/>
              </w:rPr>
            </w:pPr>
            <w:r>
              <w:rPr>
                <w:rFonts w:ascii="Times New Roman" w:hAnsi="Times New Roman" w:eastAsia="宋体" w:cs="Times New Roman"/>
                <w:color w:val="auto"/>
                <w:spacing w:val="0"/>
                <w:sz w:val="24"/>
                <w:szCs w:val="24"/>
                <w:highlight w:val="none"/>
              </w:rPr>
              <w:drawing>
                <wp:anchor distT="0" distB="0" distL="0" distR="0" simplePos="0" relativeHeight="251659264" behindDoc="0" locked="0" layoutInCell="1" allowOverlap="1">
                  <wp:simplePos x="0" y="0"/>
                  <wp:positionH relativeFrom="column">
                    <wp:posOffset>1341755</wp:posOffset>
                  </wp:positionH>
                  <wp:positionV relativeFrom="paragraph">
                    <wp:posOffset>47625</wp:posOffset>
                  </wp:positionV>
                  <wp:extent cx="1889760" cy="501015"/>
                  <wp:effectExtent l="0" t="0" r="0" b="1905"/>
                  <wp:wrapNone/>
                  <wp:docPr id="1040" name="图片 825"/>
                  <wp:cNvGraphicFramePr/>
                  <a:graphic xmlns:a="http://schemas.openxmlformats.org/drawingml/2006/main">
                    <a:graphicData uri="http://schemas.openxmlformats.org/drawingml/2006/picture">
                      <pic:pic xmlns:pic="http://schemas.openxmlformats.org/drawingml/2006/picture">
                        <pic:nvPicPr>
                          <pic:cNvPr id="1040" name="图片 825"/>
                          <pic:cNvPicPr/>
                        </pic:nvPicPr>
                        <pic:blipFill>
                          <a:blip r:embed="rId27" cstate="print"/>
                          <a:srcRect/>
                          <a:stretch>
                            <a:fillRect/>
                          </a:stretch>
                        </pic:blipFill>
                        <pic:spPr>
                          <a:xfrm>
                            <a:off x="0" y="0"/>
                            <a:ext cx="1889760" cy="501015"/>
                          </a:xfrm>
                          <a:prstGeom prst="rect">
                            <a:avLst/>
                          </a:prstGeom>
                          <a:ln>
                            <a:noFill/>
                          </a:ln>
                        </pic:spPr>
                      </pic:pic>
                    </a:graphicData>
                  </a:graphic>
                </wp:anchor>
              </w:drawing>
            </w:r>
          </w:p>
          <w:p w14:paraId="0DE3BA5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bCs/>
                <w:color w:val="auto"/>
                <w:spacing w:val="0"/>
                <w:sz w:val="24"/>
                <w:szCs w:val="24"/>
                <w:highlight w:val="none"/>
                <w:lang w:eastAsia="zh-CN"/>
              </w:rPr>
            </w:pPr>
          </w:p>
          <w:p w14:paraId="0A338E5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式中：</w:t>
            </w:r>
            <w:r>
              <w:rPr>
                <w:rFonts w:ascii="Cambria Math" w:hAnsi="Cambria Math" w:eastAsia="宋体" w:cs="Cambria Math"/>
                <w:bCs/>
                <w:color w:val="auto"/>
                <w:spacing w:val="0"/>
                <w:sz w:val="24"/>
                <w:szCs w:val="24"/>
                <w:highlight w:val="none"/>
              </w:rPr>
              <w:t>𝐿</w:t>
            </w:r>
            <w:r>
              <w:rPr>
                <w:rFonts w:ascii="Cambria Math" w:hAnsi="Cambria Math" w:eastAsia="宋体" w:cs="Cambria Math"/>
                <w:bCs/>
                <w:color w:val="auto"/>
                <w:spacing w:val="0"/>
                <w:sz w:val="24"/>
                <w:szCs w:val="24"/>
                <w:highlight w:val="none"/>
                <w:vertAlign w:val="subscript"/>
              </w:rPr>
              <w:t>𝐴</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)—距声源r处的A声级，dB（A）；</w:t>
            </w:r>
          </w:p>
          <w:p w14:paraId="34ED3B2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 xml:space="preserve">      </w:t>
            </w:r>
            <w:r>
              <w:rPr>
                <w:rFonts w:ascii="Cambria Math" w:hAnsi="Cambria Math" w:eastAsia="宋体" w:cs="Cambria Math"/>
                <w:bCs/>
                <w:color w:val="auto"/>
                <w:spacing w:val="0"/>
                <w:sz w:val="24"/>
                <w:szCs w:val="24"/>
                <w:highlight w:val="none"/>
              </w:rPr>
              <w:t>𝐿</w:t>
            </w:r>
            <w:r>
              <w:rPr>
                <w:rFonts w:ascii="Cambria Math" w:hAnsi="Cambria Math" w:eastAsia="宋体" w:cs="Cambria Math"/>
                <w:bCs/>
                <w:color w:val="auto"/>
                <w:spacing w:val="0"/>
                <w:sz w:val="24"/>
                <w:szCs w:val="24"/>
                <w:highlight w:val="none"/>
                <w:vertAlign w:val="subscript"/>
              </w:rPr>
              <w:t>𝑝𝑖</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)—预测点（r）处，第i倍频带声压级，dB；</w:t>
            </w:r>
          </w:p>
          <w:p w14:paraId="6846AAD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 xml:space="preserve">      ∆</w:t>
            </w:r>
            <w:r>
              <w:rPr>
                <w:rFonts w:ascii="Cambria Math" w:hAnsi="Cambria Math" w:eastAsia="宋体" w:cs="Cambria Math"/>
                <w:bCs/>
                <w:color w:val="auto"/>
                <w:spacing w:val="0"/>
                <w:sz w:val="24"/>
                <w:szCs w:val="24"/>
                <w:highlight w:val="none"/>
              </w:rPr>
              <w:t>𝐿𝑖</w:t>
            </w:r>
            <w:r>
              <w:rPr>
                <w:rFonts w:ascii="Times New Roman" w:hAnsi="Times New Roman" w:eastAsia="宋体" w:cs="Times New Roman"/>
                <w:bCs/>
                <w:color w:val="auto"/>
                <w:spacing w:val="0"/>
                <w:sz w:val="24"/>
                <w:szCs w:val="24"/>
                <w:highlight w:val="none"/>
              </w:rPr>
              <w:t>—第i倍频带的A计权网络修正值，dB；</w:t>
            </w:r>
          </w:p>
          <w:p w14:paraId="692AC42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只考虑几何发散衰减时，按以下计算公式：</w:t>
            </w:r>
          </w:p>
          <w:p w14:paraId="731C47DA">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color w:val="auto"/>
                <w:spacing w:val="0"/>
                <w:sz w:val="24"/>
                <w:szCs w:val="24"/>
                <w:highlight w:val="none"/>
              </w:rPr>
              <w:drawing>
                <wp:inline distT="0" distB="0" distL="0" distR="0">
                  <wp:extent cx="1475740" cy="323850"/>
                  <wp:effectExtent l="0" t="0" r="2540" b="11430"/>
                  <wp:docPr id="1041" name="图片 14"/>
                  <wp:cNvGraphicFramePr/>
                  <a:graphic xmlns:a="http://schemas.openxmlformats.org/drawingml/2006/main">
                    <a:graphicData uri="http://schemas.openxmlformats.org/drawingml/2006/picture">
                      <pic:pic xmlns:pic="http://schemas.openxmlformats.org/drawingml/2006/picture">
                        <pic:nvPicPr>
                          <pic:cNvPr id="1041" name="图片 14"/>
                          <pic:cNvPicPr/>
                        </pic:nvPicPr>
                        <pic:blipFill>
                          <a:blip r:embed="rId28" cstate="print"/>
                          <a:srcRect/>
                          <a:stretch>
                            <a:fillRect/>
                          </a:stretch>
                        </pic:blipFill>
                        <pic:spPr>
                          <a:xfrm>
                            <a:off x="0" y="0"/>
                            <a:ext cx="1475740" cy="323850"/>
                          </a:xfrm>
                          <a:prstGeom prst="rect">
                            <a:avLst/>
                          </a:prstGeom>
                          <a:ln>
                            <a:noFill/>
                          </a:ln>
                        </pic:spPr>
                      </pic:pic>
                    </a:graphicData>
                  </a:graphic>
                </wp:inline>
              </w:drawing>
            </w:r>
          </w:p>
          <w:p w14:paraId="1DE95FF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式中：</w:t>
            </w:r>
            <w:r>
              <w:rPr>
                <w:rFonts w:ascii="Cambria Math" w:hAnsi="Cambria Math" w:eastAsia="宋体" w:cs="Cambria Math"/>
                <w:bCs/>
                <w:color w:val="auto"/>
                <w:spacing w:val="0"/>
                <w:sz w:val="24"/>
                <w:szCs w:val="24"/>
                <w:highlight w:val="none"/>
              </w:rPr>
              <w:t>𝐿</w:t>
            </w:r>
            <w:r>
              <w:rPr>
                <w:rFonts w:ascii="Cambria Math" w:hAnsi="Cambria Math" w:eastAsia="宋体" w:cs="Cambria Math"/>
                <w:bCs/>
                <w:color w:val="auto"/>
                <w:spacing w:val="0"/>
                <w:sz w:val="24"/>
                <w:szCs w:val="24"/>
                <w:highlight w:val="none"/>
                <w:vertAlign w:val="subscript"/>
              </w:rPr>
              <w:t>𝐴</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)—距声源r处的A声级，dB（A）；</w:t>
            </w:r>
          </w:p>
          <w:p w14:paraId="7880912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hint="eastAsia" w:ascii="Times New Roman" w:hAnsi="Times New Roman" w:eastAsia="宋体" w:cs="Times New Roman"/>
                <w:bCs/>
                <w:color w:val="auto"/>
                <w:spacing w:val="0"/>
                <w:sz w:val="24"/>
                <w:szCs w:val="24"/>
                <w:highlight w:val="none"/>
                <w:lang w:val="en-US" w:eastAsia="zh-CN"/>
              </w:rPr>
              <w:t xml:space="preserve">      </w:t>
            </w:r>
            <w:r>
              <w:rPr>
                <w:rFonts w:ascii="Cambria Math" w:hAnsi="Cambria Math" w:eastAsia="宋体" w:cs="Cambria Math"/>
                <w:bCs/>
                <w:color w:val="auto"/>
                <w:spacing w:val="0"/>
                <w:sz w:val="24"/>
                <w:szCs w:val="24"/>
                <w:highlight w:val="none"/>
              </w:rPr>
              <w:t>𝐿</w:t>
            </w:r>
            <w:r>
              <w:rPr>
                <w:rFonts w:ascii="Times New Roman" w:hAnsi="Times New Roman" w:eastAsia="宋体" w:cs="Cambria Math"/>
                <w:bCs/>
                <w:color w:val="auto"/>
                <w:spacing w:val="0"/>
                <w:sz w:val="24"/>
                <w:szCs w:val="24"/>
                <w:highlight w:val="none"/>
                <w:vertAlign w:val="subscript"/>
              </w:rPr>
              <w:t>A</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Cambria Math"/>
                <w:bCs/>
                <w:color w:val="auto"/>
                <w:spacing w:val="0"/>
                <w:sz w:val="24"/>
                <w:szCs w:val="24"/>
                <w:highlight w:val="none"/>
                <w:vertAlign w:val="subscript"/>
              </w:rPr>
              <w:t>0</w:t>
            </w:r>
            <w:r>
              <w:rPr>
                <w:rFonts w:ascii="Times New Roman" w:hAnsi="Times New Roman" w:eastAsia="宋体" w:cs="Times New Roman"/>
                <w:bCs/>
                <w:color w:val="auto"/>
                <w:spacing w:val="0"/>
                <w:sz w:val="24"/>
                <w:szCs w:val="24"/>
                <w:highlight w:val="none"/>
              </w:rPr>
              <w:t>)—</w:t>
            </w:r>
            <w:r>
              <w:rPr>
                <w:rFonts w:hint="eastAsia" w:ascii="Times New Roman" w:hAnsi="Times New Roman" w:eastAsia="宋体" w:cs="Times New Roman"/>
                <w:bCs/>
                <w:color w:val="auto"/>
                <w:spacing w:val="0"/>
                <w:sz w:val="24"/>
                <w:szCs w:val="24"/>
                <w:highlight w:val="none"/>
              </w:rPr>
              <w:t>参考位置</w:t>
            </w:r>
            <w:r>
              <w:rPr>
                <w:rFonts w:ascii="Times New Roman" w:hAnsi="Times New Roman" w:eastAsia="宋体" w:cs="Times New Roman"/>
                <w:bCs/>
                <w:i/>
                <w:iCs/>
                <w:color w:val="auto"/>
                <w:spacing w:val="0"/>
                <w:sz w:val="24"/>
                <w:szCs w:val="24"/>
                <w:highlight w:val="none"/>
              </w:rPr>
              <w:t>r</w:t>
            </w:r>
            <w:r>
              <w:rPr>
                <w:rFonts w:ascii="Times New Roman" w:hAnsi="Times New Roman" w:eastAsia="宋体" w:cs="Times New Roman"/>
                <w:bCs/>
                <w:color w:val="auto"/>
                <w:spacing w:val="0"/>
                <w:sz w:val="24"/>
                <w:szCs w:val="24"/>
                <w:highlight w:val="none"/>
                <w:vertAlign w:val="subscript"/>
              </w:rPr>
              <w:t>0</w:t>
            </w:r>
            <w:r>
              <w:rPr>
                <w:rFonts w:hint="eastAsia" w:ascii="Times New Roman" w:hAnsi="Times New Roman" w:eastAsia="宋体" w:cs="Times New Roman"/>
                <w:bCs/>
                <w:color w:val="auto"/>
                <w:spacing w:val="0"/>
                <w:sz w:val="24"/>
                <w:szCs w:val="24"/>
                <w:highlight w:val="none"/>
              </w:rPr>
              <w:t>处的</w:t>
            </w:r>
            <w:r>
              <w:rPr>
                <w:rFonts w:ascii="Times New Roman" w:hAnsi="Times New Roman" w:eastAsia="宋体" w:cs="Times New Roman"/>
                <w:bCs/>
                <w:color w:val="auto"/>
                <w:spacing w:val="0"/>
                <w:sz w:val="24"/>
                <w:szCs w:val="24"/>
                <w:highlight w:val="none"/>
              </w:rPr>
              <w:t>A</w:t>
            </w:r>
            <w:r>
              <w:rPr>
                <w:rFonts w:hint="eastAsia" w:ascii="Times New Roman" w:hAnsi="Times New Roman" w:eastAsia="宋体" w:cs="Times New Roman"/>
                <w:bCs/>
                <w:color w:val="auto"/>
                <w:spacing w:val="0"/>
                <w:sz w:val="24"/>
                <w:szCs w:val="24"/>
                <w:highlight w:val="none"/>
              </w:rPr>
              <w:t>声级，</w:t>
            </w:r>
            <w:r>
              <w:rPr>
                <w:rFonts w:ascii="Times New Roman" w:hAnsi="Times New Roman" w:eastAsia="宋体" w:cs="Times New Roman"/>
                <w:bCs/>
                <w:color w:val="auto"/>
                <w:spacing w:val="0"/>
                <w:sz w:val="24"/>
                <w:szCs w:val="24"/>
                <w:highlight w:val="none"/>
              </w:rPr>
              <w:t>dB(A)</w:t>
            </w:r>
            <w:r>
              <w:rPr>
                <w:rFonts w:hint="eastAsia" w:ascii="Times New Roman" w:hAnsi="Times New Roman" w:eastAsia="宋体" w:cs="Times New Roman"/>
                <w:bCs/>
                <w:color w:val="auto"/>
                <w:spacing w:val="0"/>
                <w:sz w:val="24"/>
                <w:szCs w:val="24"/>
                <w:highlight w:val="none"/>
              </w:rPr>
              <w:t>；</w:t>
            </w:r>
          </w:p>
          <w:p w14:paraId="63936F4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 xml:space="preserve"> </w:t>
            </w:r>
            <w:r>
              <w:rPr>
                <w:rFonts w:hint="eastAsia" w:ascii="Times New Roman" w:hAnsi="Times New Roman" w:eastAsia="宋体" w:cs="Times New Roman"/>
                <w:bCs/>
                <w:color w:val="auto"/>
                <w:spacing w:val="0"/>
                <w:sz w:val="24"/>
                <w:szCs w:val="24"/>
                <w:highlight w:val="none"/>
                <w:lang w:val="en-US" w:eastAsia="zh-CN"/>
              </w:rPr>
              <w:t xml:space="preserve">     </w:t>
            </w:r>
            <w:r>
              <w:rPr>
                <w:rFonts w:ascii="Cambria Math" w:hAnsi="Cambria Math" w:eastAsia="宋体" w:cs="Cambria Math"/>
                <w:bCs/>
                <w:color w:val="auto"/>
                <w:spacing w:val="0"/>
                <w:sz w:val="24"/>
                <w:szCs w:val="24"/>
                <w:highlight w:val="none"/>
              </w:rPr>
              <w:t>𝐴</w:t>
            </w:r>
            <w:r>
              <w:rPr>
                <w:rFonts w:ascii="Cambria Math" w:hAnsi="Cambria Math" w:eastAsia="宋体" w:cs="Cambria Math"/>
                <w:bCs/>
                <w:color w:val="auto"/>
                <w:spacing w:val="0"/>
                <w:sz w:val="24"/>
                <w:szCs w:val="24"/>
                <w:highlight w:val="none"/>
                <w:vertAlign w:val="subscript"/>
              </w:rPr>
              <w:t>𝑑𝑖𝑣</w:t>
            </w:r>
            <w:r>
              <w:rPr>
                <w:rFonts w:ascii="Times New Roman" w:hAnsi="Times New Roman" w:eastAsia="宋体" w:cs="Times New Roman"/>
                <w:bCs/>
                <w:color w:val="auto"/>
                <w:spacing w:val="0"/>
                <w:sz w:val="24"/>
                <w:szCs w:val="24"/>
                <w:highlight w:val="none"/>
              </w:rPr>
              <w:t>—几何发散引起的衰减，dB；</w:t>
            </w:r>
            <w:r>
              <w:rPr>
                <w:rFonts w:ascii="Cambria Math" w:hAnsi="Cambria Math" w:eastAsia="宋体" w:cs="Cambria Math"/>
                <w:bCs/>
                <w:color w:val="auto"/>
                <w:spacing w:val="0"/>
                <w:sz w:val="24"/>
                <w:szCs w:val="24"/>
                <w:highlight w:val="none"/>
              </w:rPr>
              <w:t>𝐴</w:t>
            </w:r>
            <w:r>
              <w:rPr>
                <w:rFonts w:ascii="Cambria Math" w:hAnsi="Cambria Math" w:eastAsia="宋体" w:cs="Cambria Math"/>
                <w:bCs/>
                <w:color w:val="auto"/>
                <w:spacing w:val="0"/>
                <w:sz w:val="24"/>
                <w:szCs w:val="24"/>
                <w:highlight w:val="none"/>
                <w:vertAlign w:val="subscript"/>
              </w:rPr>
              <w:t>𝑑𝑖𝑣</w:t>
            </w:r>
            <w:r>
              <w:rPr>
                <w:rFonts w:ascii="Times New Roman" w:hAnsi="Times New Roman" w:eastAsia="宋体" w:cs="Times New Roman"/>
                <w:bCs/>
                <w:color w:val="auto"/>
                <w:spacing w:val="0"/>
                <w:sz w:val="24"/>
                <w:szCs w:val="24"/>
                <w:highlight w:val="none"/>
              </w:rPr>
              <w:t xml:space="preserve"> = 20 log</w:t>
            </w:r>
            <w:r>
              <w:rPr>
                <w:rFonts w:hint="eastAsia"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rPr>
              <w:t>/</w:t>
            </w:r>
            <w:r>
              <w:rPr>
                <w:rFonts w:ascii="Cambria Math" w:hAnsi="Cambria Math" w:eastAsia="宋体" w:cs="Cambria Math"/>
                <w:bCs/>
                <w:color w:val="auto"/>
                <w:spacing w:val="0"/>
                <w:sz w:val="24"/>
                <w:szCs w:val="24"/>
                <w:highlight w:val="none"/>
              </w:rPr>
              <w:t>𝑟</w:t>
            </w:r>
            <w:r>
              <w:rPr>
                <w:rFonts w:ascii="Times New Roman" w:hAnsi="Times New Roman" w:eastAsia="宋体" w:cs="Times New Roman"/>
                <w:bCs/>
                <w:color w:val="auto"/>
                <w:spacing w:val="0"/>
                <w:sz w:val="24"/>
                <w:szCs w:val="24"/>
                <w:highlight w:val="none"/>
                <w:vertAlign w:val="subscript"/>
              </w:rPr>
              <w:t>0</w:t>
            </w:r>
            <w:r>
              <w:rPr>
                <w:rFonts w:hint="eastAsia" w:ascii="Times New Roman" w:hAnsi="Times New Roman" w:eastAsia="宋体" w:cs="Times New Roman"/>
                <w:bCs/>
                <w:color w:val="auto"/>
                <w:spacing w:val="0"/>
                <w:sz w:val="24"/>
                <w:szCs w:val="24"/>
                <w:highlight w:val="none"/>
              </w:rPr>
              <w:t>）</w:t>
            </w:r>
            <w:r>
              <w:rPr>
                <w:rFonts w:ascii="Times New Roman" w:hAnsi="Times New Roman" w:eastAsia="宋体" w:cs="Times New Roman"/>
                <w:bCs/>
                <w:color w:val="auto"/>
                <w:spacing w:val="0"/>
                <w:sz w:val="24"/>
                <w:szCs w:val="24"/>
                <w:highlight w:val="none"/>
              </w:rPr>
              <w:t>；</w:t>
            </w:r>
          </w:p>
          <w:p w14:paraId="57711AA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color w:val="auto"/>
                <w:spacing w:val="0"/>
                <w:sz w:val="24"/>
                <w:szCs w:val="24"/>
                <w:highlight w:val="none"/>
              </w:rPr>
              <w:drawing>
                <wp:anchor distT="0" distB="0" distL="0" distR="0" simplePos="0" relativeHeight="251660288" behindDoc="0" locked="0" layoutInCell="1" allowOverlap="1">
                  <wp:simplePos x="0" y="0"/>
                  <wp:positionH relativeFrom="column">
                    <wp:posOffset>798195</wp:posOffset>
                  </wp:positionH>
                  <wp:positionV relativeFrom="paragraph">
                    <wp:posOffset>598170</wp:posOffset>
                  </wp:positionV>
                  <wp:extent cx="2976245" cy="628015"/>
                  <wp:effectExtent l="0" t="0" r="10795" b="12065"/>
                  <wp:wrapNone/>
                  <wp:docPr id="1042" name="图片 826"/>
                  <wp:cNvGraphicFramePr/>
                  <a:graphic xmlns:a="http://schemas.openxmlformats.org/drawingml/2006/main">
                    <a:graphicData uri="http://schemas.openxmlformats.org/drawingml/2006/picture">
                      <pic:pic xmlns:pic="http://schemas.openxmlformats.org/drawingml/2006/picture">
                        <pic:nvPicPr>
                          <pic:cNvPr id="1042" name="图片 826"/>
                          <pic:cNvPicPr/>
                        </pic:nvPicPr>
                        <pic:blipFill>
                          <a:blip r:embed="rId29" cstate="print"/>
                          <a:srcRect/>
                          <a:stretch>
                            <a:fillRect/>
                          </a:stretch>
                        </pic:blipFill>
                        <pic:spPr>
                          <a:xfrm>
                            <a:off x="0" y="0"/>
                            <a:ext cx="2976245" cy="628015"/>
                          </a:xfrm>
                          <a:prstGeom prst="rect">
                            <a:avLst/>
                          </a:prstGeom>
                          <a:ln>
                            <a:noFill/>
                          </a:ln>
                        </pic:spPr>
                      </pic:pic>
                    </a:graphicData>
                  </a:graphic>
                </wp:anchor>
              </w:drawing>
            </w:r>
            <w:r>
              <w:rPr>
                <w:rFonts w:hint="eastAsia" w:ascii="Times New Roman" w:hAnsi="Times New Roman" w:eastAsia="宋体" w:cs="Times New Roman"/>
                <w:bCs/>
                <w:color w:val="auto"/>
                <w:spacing w:val="0"/>
                <w:sz w:val="24"/>
                <w:szCs w:val="24"/>
                <w:highlight w:val="none"/>
              </w:rPr>
              <w:t>（2）噪声贡献值采用导则附录B工业噪声预测计算模型（B.6）式计算，公式如下：</w:t>
            </w:r>
          </w:p>
          <w:p w14:paraId="5C006BC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color w:val="auto"/>
                <w:spacing w:val="0"/>
                <w:sz w:val="24"/>
                <w:szCs w:val="24"/>
                <w:highlight w:val="none"/>
              </w:rPr>
            </w:pPr>
          </w:p>
          <w:p w14:paraId="34E45E4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p>
          <w:p w14:paraId="30F1D30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式中：L</w:t>
            </w:r>
            <w:r>
              <w:rPr>
                <w:rFonts w:ascii="Times New Roman" w:hAnsi="Times New Roman" w:eastAsia="宋体" w:cs="Times New Roman"/>
                <w:bCs/>
                <w:color w:val="auto"/>
                <w:spacing w:val="0"/>
                <w:sz w:val="24"/>
                <w:szCs w:val="24"/>
                <w:highlight w:val="none"/>
                <w:vertAlign w:val="subscript"/>
              </w:rPr>
              <w:t>eqg</w:t>
            </w:r>
            <w:r>
              <w:rPr>
                <w:rFonts w:ascii="Times New Roman" w:hAnsi="Times New Roman" w:eastAsia="宋体" w:cs="Times New Roman"/>
                <w:bCs/>
                <w:color w:val="auto"/>
                <w:spacing w:val="0"/>
                <w:sz w:val="24"/>
                <w:szCs w:val="24"/>
                <w:highlight w:val="none"/>
              </w:rPr>
              <w:t>—建设项目声源在预测点产生的噪声贡献值，dB；</w:t>
            </w:r>
          </w:p>
          <w:p w14:paraId="7998798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 xml:space="preserve"> </w:t>
            </w:r>
            <w:r>
              <w:rPr>
                <w:rFonts w:hint="eastAsia" w:ascii="Times New Roman" w:hAnsi="Times New Roman" w:eastAsia="宋体" w:cs="Times New Roman"/>
                <w:bCs/>
                <w:color w:val="auto"/>
                <w:spacing w:val="0"/>
                <w:sz w:val="24"/>
                <w:szCs w:val="24"/>
                <w:highlight w:val="none"/>
                <w:lang w:val="en-US" w:eastAsia="zh-CN"/>
              </w:rPr>
              <w:t xml:space="preserve">     </w:t>
            </w:r>
            <w:r>
              <w:rPr>
                <w:rFonts w:ascii="Cambria Math" w:hAnsi="Cambria Math" w:eastAsia="宋体" w:cs="Cambria Math"/>
                <w:bCs/>
                <w:color w:val="auto"/>
                <w:spacing w:val="0"/>
                <w:sz w:val="24"/>
                <w:szCs w:val="24"/>
                <w:highlight w:val="none"/>
              </w:rPr>
              <w:t>𝑇</w:t>
            </w:r>
            <w:r>
              <w:rPr>
                <w:rFonts w:ascii="Times New Roman" w:hAnsi="Times New Roman" w:eastAsia="宋体" w:cs="Times New Roman"/>
                <w:bCs/>
                <w:color w:val="auto"/>
                <w:spacing w:val="0"/>
                <w:sz w:val="24"/>
                <w:szCs w:val="24"/>
                <w:highlight w:val="none"/>
              </w:rPr>
              <w:t>—用于计算等效声级的时间，s；</w:t>
            </w:r>
          </w:p>
          <w:p w14:paraId="628D8396">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N—室外声源个数；</w:t>
            </w:r>
          </w:p>
          <w:p w14:paraId="434A78D1">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t</w:t>
            </w:r>
            <w:r>
              <w:rPr>
                <w:rFonts w:ascii="Times New Roman" w:hAnsi="Times New Roman" w:eastAsia="宋体" w:cs="Times New Roman"/>
                <w:bCs/>
                <w:color w:val="auto"/>
                <w:spacing w:val="0"/>
                <w:sz w:val="24"/>
                <w:szCs w:val="24"/>
                <w:highlight w:val="none"/>
                <w:vertAlign w:val="subscript"/>
              </w:rPr>
              <w:t>i</w:t>
            </w:r>
            <w:r>
              <w:rPr>
                <w:rFonts w:ascii="Times New Roman" w:hAnsi="Times New Roman" w:eastAsia="宋体" w:cs="Times New Roman"/>
                <w:bCs/>
                <w:color w:val="auto"/>
                <w:spacing w:val="0"/>
                <w:sz w:val="24"/>
                <w:szCs w:val="24"/>
                <w:highlight w:val="none"/>
              </w:rPr>
              <w:t>—在T时间内i声源工作时间，s；</w:t>
            </w:r>
          </w:p>
          <w:p w14:paraId="26F40426">
            <w:pPr>
              <w:keepNext w:val="0"/>
              <w:keepLines w:val="0"/>
              <w:pageBreakBefore w:val="0"/>
              <w:widowControl w:val="0"/>
              <w:kinsoku/>
              <w:wordWrap/>
              <w:overflowPunct/>
              <w:topLinePunct w:val="0"/>
              <w:autoSpaceDE/>
              <w:autoSpaceDN/>
              <w:bidi w:val="0"/>
              <w:adjustRightInd w:val="0"/>
              <w:snapToGrid w:val="0"/>
              <w:spacing w:line="480" w:lineRule="exact"/>
              <w:ind w:firstLine="1200" w:firstLineChars="500"/>
              <w:textAlignment w:val="auto"/>
              <w:rPr>
                <w:rFonts w:ascii="Times New Roman" w:hAnsi="Times New Roman" w:eastAsia="宋体" w:cs="Times New Roman"/>
                <w:bCs/>
                <w:color w:val="auto"/>
                <w:spacing w:val="0"/>
                <w:sz w:val="24"/>
                <w:szCs w:val="24"/>
                <w:highlight w:val="none"/>
              </w:rPr>
            </w:pPr>
            <w:r>
              <w:rPr>
                <w:rFonts w:ascii="Times New Roman" w:hAnsi="Times New Roman" w:eastAsia="宋体" w:cs="Times New Roman"/>
                <w:bCs/>
                <w:color w:val="auto"/>
                <w:spacing w:val="0"/>
                <w:sz w:val="24"/>
                <w:szCs w:val="24"/>
                <w:highlight w:val="none"/>
              </w:rPr>
              <w:t>M—等效室外声源个数；</w:t>
            </w:r>
          </w:p>
          <w:p w14:paraId="630444EC">
            <w:pPr>
              <w:spacing w:line="480" w:lineRule="exact"/>
              <w:ind w:firstLine="480" w:firstLineChars="200"/>
              <w:rPr>
                <w:rFonts w:hint="eastAsia"/>
                <w:color w:val="auto"/>
                <w:kern w:val="0"/>
                <w:sz w:val="24"/>
                <w:highlight w:val="none"/>
              </w:rPr>
            </w:pPr>
            <w:r>
              <w:rPr>
                <w:rFonts w:ascii="Times New Roman" w:hAnsi="Times New Roman" w:eastAsia="宋体" w:cs="Times New Roman"/>
                <w:bCs/>
                <w:color w:val="auto"/>
                <w:spacing w:val="0"/>
                <w:sz w:val="24"/>
                <w:szCs w:val="24"/>
                <w:highlight w:val="none"/>
              </w:rPr>
              <w:t>t</w:t>
            </w:r>
            <w:r>
              <w:rPr>
                <w:rFonts w:ascii="Times New Roman" w:hAnsi="Times New Roman" w:eastAsia="宋体" w:cs="Times New Roman"/>
                <w:bCs/>
                <w:color w:val="auto"/>
                <w:spacing w:val="0"/>
                <w:sz w:val="24"/>
                <w:szCs w:val="24"/>
                <w:highlight w:val="none"/>
                <w:vertAlign w:val="subscript"/>
              </w:rPr>
              <w:t>j</w:t>
            </w:r>
            <w:r>
              <w:rPr>
                <w:rFonts w:ascii="Times New Roman" w:hAnsi="Times New Roman" w:eastAsia="宋体" w:cs="Times New Roman"/>
                <w:bCs/>
                <w:color w:val="auto"/>
                <w:spacing w:val="0"/>
                <w:sz w:val="24"/>
                <w:szCs w:val="24"/>
                <w:highlight w:val="none"/>
              </w:rPr>
              <w:t>—在T时间内j声源工作时间，s。</w:t>
            </w:r>
          </w:p>
          <w:p w14:paraId="70F322BF">
            <w:pPr>
              <w:pageBreakBefore w:val="0"/>
              <w:widowControl w:val="0"/>
              <w:kinsoku/>
              <w:wordWrap/>
              <w:overflowPunct/>
              <w:topLinePunct w:val="0"/>
              <w:autoSpaceDE/>
              <w:autoSpaceDN/>
              <w:bidi w:val="0"/>
              <w:adjustRightInd w:val="0"/>
              <w:snapToGrid w:val="0"/>
              <w:spacing w:before="0" w:after="0" w:line="480" w:lineRule="exact"/>
              <w:ind w:left="0" w:leftChars="0" w:firstLine="496" w:firstLineChars="200"/>
              <w:jc w:val="both"/>
              <w:textAlignment w:val="auto"/>
              <w:rPr>
                <w:rFonts w:hint="default" w:ascii="Times New Roman" w:hAnsi="Times New Roman" w:eastAsia="宋体" w:cs="Times New Roman"/>
                <w:color w:val="auto"/>
                <w:spacing w:val="4"/>
                <w:kern w:val="2"/>
                <w:sz w:val="24"/>
                <w:szCs w:val="24"/>
                <w:highlight w:val="none"/>
                <w:lang w:val="en-US" w:eastAsia="zh-CN" w:bidi="ar-SA"/>
              </w:rPr>
            </w:pPr>
            <w:r>
              <w:rPr>
                <w:rFonts w:hint="eastAsia" w:ascii="Times New Roman" w:hAnsi="Times New Roman" w:eastAsia="宋体" w:cs="Times New Roman"/>
                <w:color w:val="auto"/>
                <w:spacing w:val="4"/>
                <w:kern w:val="2"/>
                <w:sz w:val="24"/>
                <w:szCs w:val="24"/>
                <w:highlight w:val="none"/>
                <w:lang w:val="en-US" w:eastAsia="zh-CN" w:bidi="ar-SA"/>
              </w:rPr>
              <w:t>厂界</w:t>
            </w:r>
            <w:r>
              <w:rPr>
                <w:rFonts w:hint="default" w:ascii="Times New Roman" w:hAnsi="Times New Roman" w:eastAsia="宋体" w:cs="Times New Roman"/>
                <w:color w:val="auto"/>
                <w:spacing w:val="4"/>
                <w:kern w:val="2"/>
                <w:sz w:val="24"/>
                <w:szCs w:val="24"/>
                <w:highlight w:val="none"/>
                <w:lang w:val="en-US" w:eastAsia="zh-CN" w:bidi="ar-SA"/>
              </w:rPr>
              <w:t>噪声预测结果见</w:t>
            </w:r>
            <w:r>
              <w:rPr>
                <w:rFonts w:hint="eastAsia" w:cs="Times New Roman"/>
                <w:color w:val="auto"/>
                <w:spacing w:val="4"/>
                <w:kern w:val="2"/>
                <w:sz w:val="24"/>
                <w:szCs w:val="24"/>
                <w:highlight w:val="none"/>
                <w:lang w:val="en-US" w:eastAsia="zh-CN" w:bidi="ar-SA"/>
              </w:rPr>
              <w:t>下</w:t>
            </w:r>
            <w:r>
              <w:rPr>
                <w:rFonts w:hint="default" w:ascii="Times New Roman" w:hAnsi="Times New Roman" w:eastAsia="宋体" w:cs="Times New Roman"/>
                <w:color w:val="auto"/>
                <w:spacing w:val="4"/>
                <w:kern w:val="2"/>
                <w:sz w:val="24"/>
                <w:szCs w:val="24"/>
                <w:highlight w:val="none"/>
                <w:lang w:val="en-US" w:eastAsia="zh-CN" w:bidi="ar-SA"/>
              </w:rPr>
              <w:t>表。</w:t>
            </w:r>
          </w:p>
          <w:p w14:paraId="1C5DA2F0">
            <w:pPr>
              <w:keepNext w:val="0"/>
              <w:keepLines w:val="0"/>
              <w:pageBreakBefore w:val="0"/>
              <w:widowControl w:val="0"/>
              <w:kinsoku/>
              <w:wordWrap/>
              <w:overflowPunct/>
              <w:topLinePunct w:val="0"/>
              <w:autoSpaceDE/>
              <w:autoSpaceDN/>
              <w:bidi w:val="0"/>
              <w:adjustRightInd w:val="0"/>
              <w:snapToGrid w:val="0"/>
              <w:spacing w:line="480" w:lineRule="exact"/>
              <w:ind w:firstLine="2730" w:firstLineChars="1300"/>
              <w:jc w:val="both"/>
              <w:textAlignment w:val="auto"/>
              <w:rPr>
                <w:rFonts w:hint="default" w:ascii="Times New Roman" w:hAnsi="Times New Roman" w:eastAsia="黑体" w:cs="Times New Roman"/>
                <w:b w:val="0"/>
                <w:bCs w:val="0"/>
                <w:color w:val="auto"/>
                <w:kern w:val="2"/>
                <w:sz w:val="21"/>
                <w:szCs w:val="21"/>
                <w:highlight w:val="none"/>
                <w:lang w:val="en-US" w:eastAsia="zh-CN" w:bidi="ar-SA"/>
              </w:rPr>
            </w:pPr>
          </w:p>
          <w:p w14:paraId="4C708986">
            <w:pPr>
              <w:keepNext w:val="0"/>
              <w:keepLines w:val="0"/>
              <w:pageBreakBefore w:val="0"/>
              <w:widowControl w:val="0"/>
              <w:kinsoku/>
              <w:wordWrap/>
              <w:overflowPunct/>
              <w:topLinePunct w:val="0"/>
              <w:autoSpaceDE/>
              <w:autoSpaceDN/>
              <w:bidi w:val="0"/>
              <w:adjustRightInd w:val="0"/>
              <w:snapToGrid w:val="0"/>
              <w:spacing w:line="480" w:lineRule="exact"/>
              <w:ind w:firstLine="2730" w:firstLineChars="1300"/>
              <w:jc w:val="both"/>
              <w:textAlignment w:val="auto"/>
              <w:rPr>
                <w:rFonts w:hint="default" w:ascii="Times New Roman" w:hAnsi="Times New Roman" w:eastAsia="黑体" w:cs="Times New Roman"/>
                <w:b w:val="0"/>
                <w:bCs w:val="0"/>
                <w:color w:val="auto"/>
                <w:kern w:val="2"/>
                <w:sz w:val="21"/>
                <w:szCs w:val="21"/>
                <w:highlight w:val="none"/>
                <w:lang w:val="en-US" w:eastAsia="zh-CN" w:bidi="ar-SA"/>
              </w:rPr>
            </w:pPr>
          </w:p>
          <w:p w14:paraId="380417E0">
            <w:pPr>
              <w:keepNext w:val="0"/>
              <w:keepLines w:val="0"/>
              <w:pageBreakBefore w:val="0"/>
              <w:widowControl w:val="0"/>
              <w:kinsoku/>
              <w:wordWrap/>
              <w:overflowPunct/>
              <w:topLinePunct w:val="0"/>
              <w:autoSpaceDE/>
              <w:autoSpaceDN/>
              <w:bidi w:val="0"/>
              <w:adjustRightInd w:val="0"/>
              <w:snapToGrid w:val="0"/>
              <w:spacing w:line="480" w:lineRule="exact"/>
              <w:ind w:firstLine="2730" w:firstLineChars="1300"/>
              <w:jc w:val="both"/>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w:t>
            </w:r>
            <w:r>
              <w:rPr>
                <w:rFonts w:hint="eastAsia" w:eastAsia="黑体" w:cs="Times New Roman"/>
                <w:b w:val="0"/>
                <w:bCs w:val="0"/>
                <w:color w:val="auto"/>
                <w:kern w:val="2"/>
                <w:sz w:val="21"/>
                <w:szCs w:val="21"/>
                <w:highlight w:val="none"/>
                <w:lang w:val="en-US" w:eastAsia="zh-CN" w:bidi="ar-SA"/>
              </w:rPr>
              <w:t>4.7-2</w:t>
            </w:r>
            <w:r>
              <w:rPr>
                <w:rFonts w:hint="default" w:ascii="Times New Roman" w:hAnsi="Times New Roman" w:eastAsia="黑体" w:cs="Times New Roman"/>
                <w:b w:val="0"/>
                <w:bCs w:val="0"/>
                <w:color w:val="auto"/>
                <w:kern w:val="2"/>
                <w:sz w:val="21"/>
                <w:szCs w:val="21"/>
                <w:highlight w:val="none"/>
                <w:lang w:val="en-US" w:eastAsia="zh-CN" w:bidi="ar-SA"/>
              </w:rPr>
              <w:t xml:space="preserve">  环境噪声预测结果            单位：dB（A）</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Layout w:type="fixed"/>
              <w:tblCellMar>
                <w:top w:w="0" w:type="dxa"/>
                <w:left w:w="108" w:type="dxa"/>
                <w:bottom w:w="0" w:type="dxa"/>
                <w:right w:w="108" w:type="dxa"/>
              </w:tblCellMar>
            </w:tblPr>
            <w:tblGrid>
              <w:gridCol w:w="917"/>
              <w:gridCol w:w="1575"/>
              <w:gridCol w:w="903"/>
              <w:gridCol w:w="903"/>
              <w:gridCol w:w="903"/>
              <w:gridCol w:w="903"/>
              <w:gridCol w:w="903"/>
              <w:gridCol w:w="905"/>
            </w:tblGrid>
            <w:tr w14:paraId="2BBB75D3">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49" w:hRule="atLeast"/>
                <w:jc w:val="center"/>
              </w:trPr>
              <w:tc>
                <w:tcPr>
                  <w:tcW w:w="2492" w:type="dxa"/>
                  <w:gridSpan w:val="2"/>
                  <w:vMerge w:val="restart"/>
                  <w:tcBorders>
                    <w:tl2br w:val="nil"/>
                    <w:tr2bl w:val="nil"/>
                  </w:tcBorders>
                  <w:vAlign w:val="center"/>
                </w:tcPr>
                <w:p w14:paraId="5A9C29EA">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监测点位</w:t>
                  </w:r>
                </w:p>
              </w:tc>
              <w:tc>
                <w:tcPr>
                  <w:tcW w:w="1806" w:type="dxa"/>
                  <w:gridSpan w:val="2"/>
                  <w:tcBorders>
                    <w:tl2br w:val="nil"/>
                    <w:tr2bl w:val="nil"/>
                  </w:tcBorders>
                  <w:vAlign w:val="center"/>
                </w:tcPr>
                <w:p w14:paraId="15D39CA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rPr>
                  </w:pPr>
                  <w:r>
                    <w:rPr>
                      <w:rFonts w:hint="eastAsia" w:cs="Times New Roman"/>
                      <w:color w:val="auto"/>
                      <w:szCs w:val="21"/>
                      <w:highlight w:val="none"/>
                      <w:lang w:val="en-US" w:eastAsia="zh-CN"/>
                    </w:rPr>
                    <w:t>贡献值</w:t>
                  </w:r>
                </w:p>
              </w:tc>
              <w:tc>
                <w:tcPr>
                  <w:tcW w:w="1806" w:type="dxa"/>
                  <w:gridSpan w:val="2"/>
                  <w:tcBorders>
                    <w:tl2br w:val="nil"/>
                    <w:tr2bl w:val="nil"/>
                  </w:tcBorders>
                  <w:vAlign w:val="center"/>
                </w:tcPr>
                <w:p w14:paraId="3C7FF143">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现状值</w:t>
                  </w:r>
                </w:p>
              </w:tc>
              <w:tc>
                <w:tcPr>
                  <w:tcW w:w="1808" w:type="dxa"/>
                  <w:gridSpan w:val="2"/>
                  <w:tcBorders>
                    <w:tl2br w:val="nil"/>
                    <w:tr2bl w:val="nil"/>
                  </w:tcBorders>
                  <w:vAlign w:val="center"/>
                </w:tcPr>
                <w:p w14:paraId="100DF92F">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预测值</w:t>
                  </w:r>
                </w:p>
              </w:tc>
            </w:tr>
            <w:tr w14:paraId="4ACC756A">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59" w:hRule="atLeast"/>
                <w:jc w:val="center"/>
              </w:trPr>
              <w:tc>
                <w:tcPr>
                  <w:tcW w:w="2492" w:type="dxa"/>
                  <w:gridSpan w:val="2"/>
                  <w:vMerge w:val="continue"/>
                  <w:tcBorders>
                    <w:tl2br w:val="nil"/>
                    <w:tr2bl w:val="nil"/>
                  </w:tcBorders>
                  <w:vAlign w:val="center"/>
                </w:tcPr>
                <w:p w14:paraId="706C8C87">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903" w:type="dxa"/>
                  <w:tcBorders>
                    <w:tl2br w:val="nil"/>
                    <w:tr2bl w:val="nil"/>
                  </w:tcBorders>
                  <w:vAlign w:val="center"/>
                </w:tcPr>
                <w:p w14:paraId="73A79B22">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昼间</w:t>
                  </w:r>
                </w:p>
              </w:tc>
              <w:tc>
                <w:tcPr>
                  <w:tcW w:w="903" w:type="dxa"/>
                  <w:tcBorders>
                    <w:tl2br w:val="nil"/>
                    <w:tr2bl w:val="nil"/>
                  </w:tcBorders>
                  <w:vAlign w:val="center"/>
                </w:tcPr>
                <w:p w14:paraId="6753F9A2">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夜间</w:t>
                  </w:r>
                </w:p>
              </w:tc>
              <w:tc>
                <w:tcPr>
                  <w:tcW w:w="903" w:type="dxa"/>
                  <w:tcBorders>
                    <w:tl2br w:val="nil"/>
                    <w:tr2bl w:val="nil"/>
                  </w:tcBorders>
                  <w:vAlign w:val="center"/>
                </w:tcPr>
                <w:p w14:paraId="5998ECF1">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昼间</w:t>
                  </w:r>
                </w:p>
              </w:tc>
              <w:tc>
                <w:tcPr>
                  <w:tcW w:w="903" w:type="dxa"/>
                  <w:tcBorders>
                    <w:tl2br w:val="nil"/>
                    <w:tr2bl w:val="nil"/>
                  </w:tcBorders>
                  <w:vAlign w:val="center"/>
                </w:tcPr>
                <w:p w14:paraId="05F45AB1">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夜间</w:t>
                  </w:r>
                </w:p>
              </w:tc>
              <w:tc>
                <w:tcPr>
                  <w:tcW w:w="903" w:type="dxa"/>
                  <w:tcBorders>
                    <w:tl2br w:val="nil"/>
                    <w:tr2bl w:val="nil"/>
                  </w:tcBorders>
                  <w:shd w:val="clear" w:color="auto" w:fill="auto"/>
                  <w:vAlign w:val="center"/>
                </w:tcPr>
                <w:p w14:paraId="1AE18C67">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昼间</w:t>
                  </w:r>
                </w:p>
              </w:tc>
              <w:tc>
                <w:tcPr>
                  <w:tcW w:w="905" w:type="dxa"/>
                  <w:tcBorders>
                    <w:tl2br w:val="nil"/>
                    <w:tr2bl w:val="nil"/>
                  </w:tcBorders>
                  <w:shd w:val="clear" w:color="auto" w:fill="auto"/>
                  <w:vAlign w:val="center"/>
                </w:tcPr>
                <w:p w14:paraId="7A73CBA8">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eastAsia="zh-CN"/>
                    </w:rPr>
                    <w:t>夜间</w:t>
                  </w:r>
                </w:p>
              </w:tc>
            </w:tr>
            <w:tr w14:paraId="110CFA96">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59" w:hRule="atLeast"/>
                <w:jc w:val="center"/>
              </w:trPr>
              <w:tc>
                <w:tcPr>
                  <w:tcW w:w="917" w:type="dxa"/>
                  <w:vMerge w:val="restart"/>
                  <w:tcBorders>
                    <w:tl2br w:val="nil"/>
                    <w:tr2bl w:val="nil"/>
                  </w:tcBorders>
                  <w:vAlign w:val="center"/>
                </w:tcPr>
                <w:p w14:paraId="032819C9">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厂界</w:t>
                  </w:r>
                </w:p>
              </w:tc>
              <w:tc>
                <w:tcPr>
                  <w:tcW w:w="1575" w:type="dxa"/>
                  <w:tcBorders>
                    <w:tl2br w:val="nil"/>
                    <w:tr2bl w:val="nil"/>
                  </w:tcBorders>
                  <w:vAlign w:val="center"/>
                </w:tcPr>
                <w:p w14:paraId="7EC65998">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rPr>
                    <w:t>1#（</w:t>
                  </w:r>
                  <w:r>
                    <w:rPr>
                      <w:rFonts w:hint="eastAsia" w:cs="Times New Roman"/>
                      <w:color w:val="auto"/>
                      <w:spacing w:val="0"/>
                      <w:szCs w:val="21"/>
                      <w:highlight w:val="none"/>
                      <w:lang w:val="en-US" w:eastAsia="zh-CN"/>
                    </w:rPr>
                    <w:t>西</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2940FB2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29.25</w:t>
                  </w:r>
                </w:p>
              </w:tc>
              <w:tc>
                <w:tcPr>
                  <w:tcW w:w="903" w:type="dxa"/>
                  <w:tcBorders>
                    <w:tl2br w:val="nil"/>
                    <w:tr2bl w:val="nil"/>
                  </w:tcBorders>
                  <w:shd w:val="clear" w:color="auto" w:fill="auto"/>
                  <w:vAlign w:val="center"/>
                </w:tcPr>
                <w:p w14:paraId="76A18FB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29.25</w:t>
                  </w:r>
                </w:p>
              </w:tc>
              <w:tc>
                <w:tcPr>
                  <w:tcW w:w="903" w:type="dxa"/>
                  <w:tcBorders>
                    <w:tl2br w:val="nil"/>
                    <w:tr2bl w:val="nil"/>
                  </w:tcBorders>
                  <w:vAlign w:val="center"/>
                </w:tcPr>
                <w:p w14:paraId="4DFC312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54.3</w:t>
                  </w:r>
                </w:p>
              </w:tc>
              <w:tc>
                <w:tcPr>
                  <w:tcW w:w="903" w:type="dxa"/>
                  <w:tcBorders>
                    <w:tl2br w:val="nil"/>
                    <w:tr2bl w:val="nil"/>
                  </w:tcBorders>
                  <w:vAlign w:val="center"/>
                </w:tcPr>
                <w:p w14:paraId="056A6F40">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47.1</w:t>
                  </w:r>
                </w:p>
              </w:tc>
              <w:tc>
                <w:tcPr>
                  <w:tcW w:w="903" w:type="dxa"/>
                  <w:tcBorders>
                    <w:tl2br w:val="nil"/>
                    <w:tr2bl w:val="nil"/>
                  </w:tcBorders>
                  <w:vAlign w:val="center"/>
                </w:tcPr>
                <w:p w14:paraId="7D2566F1">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54.31</w:t>
                  </w:r>
                </w:p>
              </w:tc>
              <w:tc>
                <w:tcPr>
                  <w:tcW w:w="905" w:type="dxa"/>
                  <w:tcBorders>
                    <w:tl2br w:val="nil"/>
                    <w:tr2bl w:val="nil"/>
                  </w:tcBorders>
                  <w:vAlign w:val="center"/>
                </w:tcPr>
                <w:p w14:paraId="6A735D08">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47.17</w:t>
                  </w:r>
                </w:p>
              </w:tc>
            </w:tr>
            <w:tr w14:paraId="2559F326">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59" w:hRule="atLeast"/>
                <w:jc w:val="center"/>
              </w:trPr>
              <w:tc>
                <w:tcPr>
                  <w:tcW w:w="917" w:type="dxa"/>
                  <w:vMerge w:val="continue"/>
                  <w:tcBorders>
                    <w:tl2br w:val="nil"/>
                    <w:tr2bl w:val="nil"/>
                  </w:tcBorders>
                  <w:vAlign w:val="center"/>
                </w:tcPr>
                <w:p w14:paraId="762012F8">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5EAA0BD2">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rPr>
                    <w:t>2#（</w:t>
                  </w:r>
                  <w:r>
                    <w:rPr>
                      <w:rFonts w:hint="eastAsia" w:cs="Times New Roman"/>
                      <w:color w:val="auto"/>
                      <w:spacing w:val="0"/>
                      <w:szCs w:val="21"/>
                      <w:highlight w:val="none"/>
                      <w:lang w:val="en-US" w:eastAsia="zh-CN"/>
                    </w:rPr>
                    <w:t>西</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6E382CA2">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23.53</w:t>
                  </w:r>
                </w:p>
              </w:tc>
              <w:tc>
                <w:tcPr>
                  <w:tcW w:w="903" w:type="dxa"/>
                  <w:tcBorders>
                    <w:tl2br w:val="nil"/>
                    <w:tr2bl w:val="nil"/>
                  </w:tcBorders>
                  <w:shd w:val="clear" w:color="auto" w:fill="auto"/>
                  <w:vAlign w:val="center"/>
                </w:tcPr>
                <w:p w14:paraId="342A6194">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23.53</w:t>
                  </w:r>
                </w:p>
              </w:tc>
              <w:tc>
                <w:tcPr>
                  <w:tcW w:w="903" w:type="dxa"/>
                  <w:tcBorders>
                    <w:tl2br w:val="nil"/>
                    <w:tr2bl w:val="nil"/>
                  </w:tcBorders>
                  <w:shd w:val="clear" w:color="auto" w:fill="auto"/>
                  <w:vAlign w:val="center"/>
                </w:tcPr>
                <w:p w14:paraId="491A260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55.0</w:t>
                  </w:r>
                </w:p>
              </w:tc>
              <w:tc>
                <w:tcPr>
                  <w:tcW w:w="903" w:type="dxa"/>
                  <w:tcBorders>
                    <w:tl2br w:val="nil"/>
                    <w:tr2bl w:val="nil"/>
                  </w:tcBorders>
                  <w:shd w:val="clear" w:color="auto" w:fill="auto"/>
                  <w:vAlign w:val="center"/>
                </w:tcPr>
                <w:p w14:paraId="5EE72B5D">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44.6</w:t>
                  </w:r>
                </w:p>
              </w:tc>
              <w:tc>
                <w:tcPr>
                  <w:tcW w:w="903" w:type="dxa"/>
                  <w:tcBorders>
                    <w:tl2br w:val="nil"/>
                    <w:tr2bl w:val="nil"/>
                  </w:tcBorders>
                  <w:vAlign w:val="center"/>
                </w:tcPr>
                <w:p w14:paraId="09EB1F3E">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55.0</w:t>
                  </w:r>
                </w:p>
              </w:tc>
              <w:tc>
                <w:tcPr>
                  <w:tcW w:w="905" w:type="dxa"/>
                  <w:tcBorders>
                    <w:tl2br w:val="nil"/>
                    <w:tr2bl w:val="nil"/>
                  </w:tcBorders>
                  <w:vAlign w:val="center"/>
                </w:tcPr>
                <w:p w14:paraId="787A490C">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44.63</w:t>
                  </w:r>
                </w:p>
              </w:tc>
            </w:tr>
            <w:tr w14:paraId="1FE1373E">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59" w:hRule="atLeast"/>
                <w:jc w:val="center"/>
              </w:trPr>
              <w:tc>
                <w:tcPr>
                  <w:tcW w:w="917" w:type="dxa"/>
                  <w:vMerge w:val="continue"/>
                  <w:tcBorders>
                    <w:tl2br w:val="nil"/>
                    <w:tr2bl w:val="nil"/>
                  </w:tcBorders>
                  <w:vAlign w:val="center"/>
                </w:tcPr>
                <w:p w14:paraId="215D3676">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571A7BF7">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rPr>
                    <w:t>3#（</w:t>
                  </w:r>
                  <w:r>
                    <w:rPr>
                      <w:rFonts w:hint="eastAsia" w:ascii="Times New Roman" w:hAnsi="Times New Roman" w:eastAsia="宋体" w:cs="Times New Roman"/>
                      <w:color w:val="auto"/>
                      <w:spacing w:val="0"/>
                      <w:szCs w:val="21"/>
                      <w:highlight w:val="none"/>
                      <w:lang w:val="en-US" w:eastAsia="zh-CN"/>
                    </w:rPr>
                    <w:t>南</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2433BC31">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46.99</w:t>
                  </w:r>
                </w:p>
              </w:tc>
              <w:tc>
                <w:tcPr>
                  <w:tcW w:w="903" w:type="dxa"/>
                  <w:tcBorders>
                    <w:tl2br w:val="nil"/>
                    <w:tr2bl w:val="nil"/>
                  </w:tcBorders>
                  <w:shd w:val="clear" w:color="auto" w:fill="auto"/>
                  <w:vAlign w:val="center"/>
                </w:tcPr>
                <w:p w14:paraId="78E363F0">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46.99</w:t>
                  </w:r>
                </w:p>
              </w:tc>
              <w:tc>
                <w:tcPr>
                  <w:tcW w:w="903" w:type="dxa"/>
                  <w:tcBorders>
                    <w:tl2br w:val="nil"/>
                    <w:tr2bl w:val="nil"/>
                  </w:tcBorders>
                  <w:shd w:val="clear" w:color="auto" w:fill="auto"/>
                  <w:vAlign w:val="center"/>
                </w:tcPr>
                <w:p w14:paraId="4BF0B6A6">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56.3</w:t>
                  </w:r>
                </w:p>
              </w:tc>
              <w:tc>
                <w:tcPr>
                  <w:tcW w:w="903" w:type="dxa"/>
                  <w:tcBorders>
                    <w:tl2br w:val="nil"/>
                    <w:tr2bl w:val="nil"/>
                  </w:tcBorders>
                  <w:shd w:val="clear" w:color="auto" w:fill="auto"/>
                  <w:vAlign w:val="center"/>
                </w:tcPr>
                <w:p w14:paraId="56A9316C">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42.1</w:t>
                  </w:r>
                </w:p>
              </w:tc>
              <w:tc>
                <w:tcPr>
                  <w:tcW w:w="903" w:type="dxa"/>
                  <w:tcBorders>
                    <w:tl2br w:val="nil"/>
                    <w:tr2bl w:val="nil"/>
                  </w:tcBorders>
                  <w:vAlign w:val="center"/>
                </w:tcPr>
                <w:p w14:paraId="198BFDC2">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56.78</w:t>
                  </w:r>
                </w:p>
              </w:tc>
              <w:tc>
                <w:tcPr>
                  <w:tcW w:w="905" w:type="dxa"/>
                  <w:tcBorders>
                    <w:tl2br w:val="nil"/>
                    <w:tr2bl w:val="nil"/>
                  </w:tcBorders>
                  <w:vAlign w:val="center"/>
                </w:tcPr>
                <w:p w14:paraId="3666A3BA">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48.21</w:t>
                  </w:r>
                </w:p>
              </w:tc>
            </w:tr>
            <w:tr w14:paraId="3160B7EB">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538A2F5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42E5F238">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kern w:val="2"/>
                      <w:sz w:val="21"/>
                      <w:szCs w:val="21"/>
                      <w:highlight w:val="none"/>
                      <w:lang w:val="en-US" w:eastAsia="zh-CN" w:bidi="ar-SA"/>
                    </w:rPr>
                  </w:pPr>
                  <w:r>
                    <w:rPr>
                      <w:rFonts w:hint="default" w:ascii="Times New Roman" w:hAnsi="Times New Roman" w:eastAsia="宋体" w:cs="Times New Roman"/>
                      <w:color w:val="auto"/>
                      <w:spacing w:val="0"/>
                      <w:szCs w:val="21"/>
                      <w:highlight w:val="none"/>
                    </w:rPr>
                    <w:t>4#（</w:t>
                  </w:r>
                  <w:r>
                    <w:rPr>
                      <w:rFonts w:hint="eastAsia" w:ascii="Times New Roman" w:hAnsi="Times New Roman" w:eastAsia="宋体" w:cs="Times New Roman"/>
                      <w:color w:val="auto"/>
                      <w:spacing w:val="0"/>
                      <w:szCs w:val="21"/>
                      <w:highlight w:val="none"/>
                      <w:lang w:val="en-US" w:eastAsia="zh-CN"/>
                    </w:rPr>
                    <w:t>南</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5D6C694F">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41.47</w:t>
                  </w:r>
                </w:p>
              </w:tc>
              <w:tc>
                <w:tcPr>
                  <w:tcW w:w="903" w:type="dxa"/>
                  <w:tcBorders>
                    <w:tl2br w:val="nil"/>
                    <w:tr2bl w:val="nil"/>
                  </w:tcBorders>
                  <w:shd w:val="clear" w:color="auto" w:fill="auto"/>
                  <w:vAlign w:val="center"/>
                </w:tcPr>
                <w:p w14:paraId="28FA206E">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41.47</w:t>
                  </w:r>
                </w:p>
              </w:tc>
              <w:tc>
                <w:tcPr>
                  <w:tcW w:w="903" w:type="dxa"/>
                  <w:tcBorders>
                    <w:tl2br w:val="nil"/>
                    <w:tr2bl w:val="nil"/>
                  </w:tcBorders>
                  <w:vAlign w:val="center"/>
                </w:tcPr>
                <w:p w14:paraId="753F097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54.7</w:t>
                  </w:r>
                </w:p>
              </w:tc>
              <w:tc>
                <w:tcPr>
                  <w:tcW w:w="903" w:type="dxa"/>
                  <w:tcBorders>
                    <w:tl2br w:val="nil"/>
                    <w:tr2bl w:val="nil"/>
                  </w:tcBorders>
                  <w:vAlign w:val="center"/>
                </w:tcPr>
                <w:p w14:paraId="5E0291BC">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41.3</w:t>
                  </w:r>
                </w:p>
              </w:tc>
              <w:tc>
                <w:tcPr>
                  <w:tcW w:w="903" w:type="dxa"/>
                  <w:tcBorders>
                    <w:tl2br w:val="nil"/>
                    <w:tr2bl w:val="nil"/>
                  </w:tcBorders>
                  <w:vAlign w:val="center"/>
                </w:tcPr>
                <w:p w14:paraId="4FAF831B">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54.9</w:t>
                  </w:r>
                </w:p>
              </w:tc>
              <w:tc>
                <w:tcPr>
                  <w:tcW w:w="905" w:type="dxa"/>
                  <w:tcBorders>
                    <w:tl2br w:val="nil"/>
                    <w:tr2bl w:val="nil"/>
                  </w:tcBorders>
                  <w:vAlign w:val="center"/>
                </w:tcPr>
                <w:p w14:paraId="7E6C20C4">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44.4</w:t>
                  </w:r>
                </w:p>
              </w:tc>
            </w:tr>
            <w:tr w14:paraId="3FA7B3F4">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5D8FDB7D">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5A926AEA">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rPr>
                  </w:pPr>
                  <w:r>
                    <w:rPr>
                      <w:rFonts w:hint="eastAsia" w:ascii="Times New Roman" w:hAnsi="Times New Roman" w:eastAsia="宋体" w:cs="Times New Roman"/>
                      <w:color w:val="auto"/>
                      <w:spacing w:val="0"/>
                      <w:szCs w:val="21"/>
                      <w:highlight w:val="none"/>
                      <w:lang w:val="en-US" w:eastAsia="zh-CN"/>
                    </w:rPr>
                    <w:t>5</w:t>
                  </w:r>
                  <w:r>
                    <w:rPr>
                      <w:rFonts w:hint="default" w:ascii="Times New Roman" w:hAnsi="Times New Roman" w:eastAsia="宋体" w:cs="Times New Roman"/>
                      <w:color w:val="auto"/>
                      <w:spacing w:val="0"/>
                      <w:szCs w:val="21"/>
                      <w:highlight w:val="none"/>
                    </w:rPr>
                    <w:t>#（</w:t>
                  </w:r>
                  <w:r>
                    <w:rPr>
                      <w:rFonts w:hint="eastAsia" w:ascii="Times New Roman" w:hAnsi="Times New Roman" w:eastAsia="宋体" w:cs="Times New Roman"/>
                      <w:color w:val="auto"/>
                      <w:spacing w:val="0"/>
                      <w:szCs w:val="21"/>
                      <w:highlight w:val="none"/>
                      <w:lang w:val="en-US" w:eastAsia="zh-CN"/>
                    </w:rPr>
                    <w:t>东</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3797198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39.37</w:t>
                  </w:r>
                </w:p>
              </w:tc>
              <w:tc>
                <w:tcPr>
                  <w:tcW w:w="903" w:type="dxa"/>
                  <w:tcBorders>
                    <w:tl2br w:val="nil"/>
                    <w:tr2bl w:val="nil"/>
                  </w:tcBorders>
                  <w:shd w:val="clear" w:color="auto" w:fill="auto"/>
                  <w:vAlign w:val="center"/>
                </w:tcPr>
                <w:p w14:paraId="4A8DCDB6">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39.37</w:t>
                  </w:r>
                </w:p>
              </w:tc>
              <w:tc>
                <w:tcPr>
                  <w:tcW w:w="903" w:type="dxa"/>
                  <w:tcBorders>
                    <w:tl2br w:val="nil"/>
                    <w:tr2bl w:val="nil"/>
                  </w:tcBorders>
                  <w:vAlign w:val="center"/>
                </w:tcPr>
                <w:p w14:paraId="79AA325C">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55.9</w:t>
                  </w:r>
                </w:p>
              </w:tc>
              <w:tc>
                <w:tcPr>
                  <w:tcW w:w="903" w:type="dxa"/>
                  <w:tcBorders>
                    <w:tl2br w:val="nil"/>
                    <w:tr2bl w:val="nil"/>
                  </w:tcBorders>
                  <w:vAlign w:val="center"/>
                </w:tcPr>
                <w:p w14:paraId="621FAFA5">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38.3</w:t>
                  </w:r>
                </w:p>
              </w:tc>
              <w:tc>
                <w:tcPr>
                  <w:tcW w:w="903" w:type="dxa"/>
                  <w:tcBorders>
                    <w:tl2br w:val="nil"/>
                    <w:tr2bl w:val="nil"/>
                  </w:tcBorders>
                  <w:vAlign w:val="center"/>
                </w:tcPr>
                <w:p w14:paraId="7D18CEA5">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56.0</w:t>
                  </w:r>
                </w:p>
              </w:tc>
              <w:tc>
                <w:tcPr>
                  <w:tcW w:w="905" w:type="dxa"/>
                  <w:tcBorders>
                    <w:tl2br w:val="nil"/>
                    <w:tr2bl w:val="nil"/>
                  </w:tcBorders>
                  <w:vAlign w:val="center"/>
                </w:tcPr>
                <w:p w14:paraId="3302F864">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41.88</w:t>
                  </w:r>
                </w:p>
              </w:tc>
            </w:tr>
            <w:tr w14:paraId="00A8B84F">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1B067345">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0E9F1CD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rPr>
                  </w:pPr>
                  <w:r>
                    <w:rPr>
                      <w:rFonts w:hint="eastAsia" w:ascii="Times New Roman" w:hAnsi="Times New Roman" w:eastAsia="宋体" w:cs="Times New Roman"/>
                      <w:color w:val="auto"/>
                      <w:spacing w:val="0"/>
                      <w:szCs w:val="21"/>
                      <w:highlight w:val="none"/>
                      <w:lang w:val="en-US" w:eastAsia="zh-CN"/>
                    </w:rPr>
                    <w:t>6</w:t>
                  </w:r>
                  <w:r>
                    <w:rPr>
                      <w:rFonts w:hint="default" w:ascii="Times New Roman" w:hAnsi="Times New Roman" w:eastAsia="宋体" w:cs="Times New Roman"/>
                      <w:color w:val="auto"/>
                      <w:spacing w:val="0"/>
                      <w:szCs w:val="21"/>
                      <w:highlight w:val="none"/>
                    </w:rPr>
                    <w:t>#（</w:t>
                  </w:r>
                  <w:r>
                    <w:rPr>
                      <w:rFonts w:hint="eastAsia" w:ascii="Times New Roman" w:hAnsi="Times New Roman" w:eastAsia="宋体" w:cs="Times New Roman"/>
                      <w:color w:val="auto"/>
                      <w:spacing w:val="0"/>
                      <w:szCs w:val="21"/>
                      <w:highlight w:val="none"/>
                      <w:lang w:val="en-US" w:eastAsia="zh-CN"/>
                    </w:rPr>
                    <w:t>北</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2CC77080">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18.57</w:t>
                  </w:r>
                </w:p>
              </w:tc>
              <w:tc>
                <w:tcPr>
                  <w:tcW w:w="903" w:type="dxa"/>
                  <w:tcBorders>
                    <w:tl2br w:val="nil"/>
                    <w:tr2bl w:val="nil"/>
                  </w:tcBorders>
                  <w:shd w:val="clear" w:color="auto" w:fill="auto"/>
                  <w:vAlign w:val="center"/>
                </w:tcPr>
                <w:p w14:paraId="1F9CB56F">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18.57</w:t>
                  </w:r>
                </w:p>
              </w:tc>
              <w:tc>
                <w:tcPr>
                  <w:tcW w:w="903" w:type="dxa"/>
                  <w:tcBorders>
                    <w:tl2br w:val="nil"/>
                    <w:tr2bl w:val="nil"/>
                  </w:tcBorders>
                  <w:vAlign w:val="center"/>
                </w:tcPr>
                <w:p w14:paraId="6EAF098F">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56.3</w:t>
                  </w:r>
                </w:p>
              </w:tc>
              <w:tc>
                <w:tcPr>
                  <w:tcW w:w="903" w:type="dxa"/>
                  <w:tcBorders>
                    <w:tl2br w:val="nil"/>
                    <w:tr2bl w:val="nil"/>
                  </w:tcBorders>
                  <w:vAlign w:val="center"/>
                </w:tcPr>
                <w:p w14:paraId="7CFC4317">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40.1</w:t>
                  </w:r>
                </w:p>
              </w:tc>
              <w:tc>
                <w:tcPr>
                  <w:tcW w:w="903" w:type="dxa"/>
                  <w:tcBorders>
                    <w:tl2br w:val="nil"/>
                    <w:tr2bl w:val="nil"/>
                  </w:tcBorders>
                  <w:vAlign w:val="center"/>
                </w:tcPr>
                <w:p w14:paraId="16146B0B">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56.3</w:t>
                  </w:r>
                </w:p>
              </w:tc>
              <w:tc>
                <w:tcPr>
                  <w:tcW w:w="905" w:type="dxa"/>
                  <w:tcBorders>
                    <w:tl2br w:val="nil"/>
                    <w:tr2bl w:val="nil"/>
                  </w:tcBorders>
                  <w:vAlign w:val="center"/>
                </w:tcPr>
                <w:p w14:paraId="7021B7B0">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40.13</w:t>
                  </w:r>
                </w:p>
              </w:tc>
            </w:tr>
            <w:tr w14:paraId="1C2D3A1F">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08B74D2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10EDDFAC">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rPr>
                  </w:pPr>
                  <w:r>
                    <w:rPr>
                      <w:rFonts w:hint="eastAsia" w:ascii="Times New Roman" w:hAnsi="Times New Roman" w:eastAsia="宋体" w:cs="Times New Roman"/>
                      <w:color w:val="auto"/>
                      <w:spacing w:val="0"/>
                      <w:szCs w:val="21"/>
                      <w:highlight w:val="none"/>
                      <w:lang w:val="en-US" w:eastAsia="zh-CN"/>
                    </w:rPr>
                    <w:t>7</w:t>
                  </w:r>
                  <w:r>
                    <w:rPr>
                      <w:rFonts w:hint="default" w:ascii="Times New Roman" w:hAnsi="Times New Roman" w:eastAsia="宋体" w:cs="Times New Roman"/>
                      <w:color w:val="auto"/>
                      <w:spacing w:val="0"/>
                      <w:szCs w:val="21"/>
                      <w:highlight w:val="none"/>
                    </w:rPr>
                    <w:t>#（</w:t>
                  </w:r>
                  <w:r>
                    <w:rPr>
                      <w:rFonts w:hint="eastAsia" w:ascii="Times New Roman" w:hAnsi="Times New Roman" w:eastAsia="宋体" w:cs="Times New Roman"/>
                      <w:color w:val="auto"/>
                      <w:spacing w:val="0"/>
                      <w:szCs w:val="21"/>
                      <w:highlight w:val="none"/>
                      <w:lang w:val="en-US" w:eastAsia="zh-CN"/>
                    </w:rPr>
                    <w:t>北</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579B2CB7">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20.53</w:t>
                  </w:r>
                </w:p>
              </w:tc>
              <w:tc>
                <w:tcPr>
                  <w:tcW w:w="903" w:type="dxa"/>
                  <w:tcBorders>
                    <w:tl2br w:val="nil"/>
                    <w:tr2bl w:val="nil"/>
                  </w:tcBorders>
                  <w:shd w:val="clear" w:color="auto" w:fill="auto"/>
                  <w:vAlign w:val="center"/>
                </w:tcPr>
                <w:p w14:paraId="69DD305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20.53</w:t>
                  </w:r>
                </w:p>
              </w:tc>
              <w:tc>
                <w:tcPr>
                  <w:tcW w:w="903" w:type="dxa"/>
                  <w:tcBorders>
                    <w:tl2br w:val="nil"/>
                    <w:tr2bl w:val="nil"/>
                  </w:tcBorders>
                  <w:vAlign w:val="center"/>
                </w:tcPr>
                <w:p w14:paraId="71E0A6F6">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57.5</w:t>
                  </w:r>
                </w:p>
              </w:tc>
              <w:tc>
                <w:tcPr>
                  <w:tcW w:w="903" w:type="dxa"/>
                  <w:tcBorders>
                    <w:tl2br w:val="nil"/>
                    <w:tr2bl w:val="nil"/>
                  </w:tcBorders>
                  <w:vAlign w:val="center"/>
                </w:tcPr>
                <w:p w14:paraId="549DB73F">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42.0</w:t>
                  </w:r>
                </w:p>
              </w:tc>
              <w:tc>
                <w:tcPr>
                  <w:tcW w:w="903" w:type="dxa"/>
                  <w:tcBorders>
                    <w:tl2br w:val="nil"/>
                    <w:tr2bl w:val="nil"/>
                  </w:tcBorders>
                  <w:vAlign w:val="center"/>
                </w:tcPr>
                <w:p w14:paraId="2C3167CC">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57.5</w:t>
                  </w:r>
                </w:p>
              </w:tc>
              <w:tc>
                <w:tcPr>
                  <w:tcW w:w="905" w:type="dxa"/>
                  <w:tcBorders>
                    <w:tl2br w:val="nil"/>
                    <w:tr2bl w:val="nil"/>
                  </w:tcBorders>
                  <w:vAlign w:val="center"/>
                </w:tcPr>
                <w:p w14:paraId="436D3E30">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42.03</w:t>
                  </w:r>
                </w:p>
              </w:tc>
            </w:tr>
            <w:tr w14:paraId="5A3ADD31">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vMerge w:val="continue"/>
                  <w:tcBorders>
                    <w:tl2br w:val="nil"/>
                    <w:tr2bl w:val="nil"/>
                  </w:tcBorders>
                  <w:vAlign w:val="center"/>
                </w:tcPr>
                <w:p w14:paraId="029C318B">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zCs w:val="21"/>
                      <w:highlight w:val="none"/>
                    </w:rPr>
                  </w:pPr>
                </w:p>
              </w:tc>
              <w:tc>
                <w:tcPr>
                  <w:tcW w:w="1575" w:type="dxa"/>
                  <w:tcBorders>
                    <w:tl2br w:val="nil"/>
                    <w:tr2bl w:val="nil"/>
                  </w:tcBorders>
                  <w:vAlign w:val="center"/>
                </w:tcPr>
                <w:p w14:paraId="0DA8CB27">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rPr>
                  </w:pPr>
                  <w:r>
                    <w:rPr>
                      <w:rFonts w:hint="eastAsia" w:ascii="Times New Roman" w:hAnsi="Times New Roman" w:eastAsia="宋体" w:cs="Times New Roman"/>
                      <w:color w:val="auto"/>
                      <w:spacing w:val="0"/>
                      <w:szCs w:val="21"/>
                      <w:highlight w:val="none"/>
                      <w:lang w:val="en-US" w:eastAsia="zh-CN"/>
                    </w:rPr>
                    <w:t>8</w:t>
                  </w:r>
                  <w:r>
                    <w:rPr>
                      <w:rFonts w:hint="default" w:ascii="Times New Roman" w:hAnsi="Times New Roman" w:eastAsia="宋体" w:cs="Times New Roman"/>
                      <w:color w:val="auto"/>
                      <w:spacing w:val="0"/>
                      <w:szCs w:val="21"/>
                      <w:highlight w:val="none"/>
                    </w:rPr>
                    <w:t>#（</w:t>
                  </w:r>
                  <w:r>
                    <w:rPr>
                      <w:rFonts w:hint="eastAsia" w:ascii="Times New Roman" w:hAnsi="Times New Roman" w:eastAsia="宋体" w:cs="Times New Roman"/>
                      <w:color w:val="auto"/>
                      <w:spacing w:val="0"/>
                      <w:szCs w:val="21"/>
                      <w:highlight w:val="none"/>
                      <w:lang w:val="en-US" w:eastAsia="zh-CN"/>
                    </w:rPr>
                    <w:t>北</w:t>
                  </w:r>
                  <w:r>
                    <w:rPr>
                      <w:rFonts w:hint="default" w:ascii="Times New Roman" w:hAnsi="Times New Roman" w:eastAsia="宋体" w:cs="Times New Roman"/>
                      <w:color w:val="auto"/>
                      <w:spacing w:val="0"/>
                      <w:szCs w:val="21"/>
                      <w:highlight w:val="none"/>
                    </w:rPr>
                    <w:t>）</w:t>
                  </w:r>
                </w:p>
              </w:tc>
              <w:tc>
                <w:tcPr>
                  <w:tcW w:w="903" w:type="dxa"/>
                  <w:tcBorders>
                    <w:tl2br w:val="nil"/>
                    <w:tr2bl w:val="nil"/>
                  </w:tcBorders>
                  <w:vAlign w:val="center"/>
                </w:tcPr>
                <w:p w14:paraId="61A47BAA">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36.42</w:t>
                  </w:r>
                </w:p>
              </w:tc>
              <w:tc>
                <w:tcPr>
                  <w:tcW w:w="903" w:type="dxa"/>
                  <w:tcBorders>
                    <w:tl2br w:val="nil"/>
                    <w:tr2bl w:val="nil"/>
                  </w:tcBorders>
                  <w:shd w:val="clear" w:color="auto" w:fill="auto"/>
                  <w:vAlign w:val="center"/>
                </w:tcPr>
                <w:p w14:paraId="658F6AD3">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36.42</w:t>
                  </w:r>
                </w:p>
              </w:tc>
              <w:tc>
                <w:tcPr>
                  <w:tcW w:w="903" w:type="dxa"/>
                  <w:tcBorders>
                    <w:tl2br w:val="nil"/>
                    <w:tr2bl w:val="nil"/>
                  </w:tcBorders>
                  <w:vAlign w:val="center"/>
                </w:tcPr>
                <w:p w14:paraId="31C9A01B">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55.5</w:t>
                  </w:r>
                </w:p>
              </w:tc>
              <w:tc>
                <w:tcPr>
                  <w:tcW w:w="903" w:type="dxa"/>
                  <w:tcBorders>
                    <w:tl2br w:val="nil"/>
                    <w:tr2bl w:val="nil"/>
                  </w:tcBorders>
                  <w:vAlign w:val="center"/>
                </w:tcPr>
                <w:p w14:paraId="175C1BE1">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38.3</w:t>
                  </w:r>
                </w:p>
              </w:tc>
              <w:tc>
                <w:tcPr>
                  <w:tcW w:w="903" w:type="dxa"/>
                  <w:tcBorders>
                    <w:tl2br w:val="nil"/>
                    <w:tr2bl w:val="nil"/>
                  </w:tcBorders>
                  <w:vAlign w:val="center"/>
                </w:tcPr>
                <w:p w14:paraId="357BE6B0">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55.55</w:t>
                  </w:r>
                </w:p>
              </w:tc>
              <w:tc>
                <w:tcPr>
                  <w:tcW w:w="905" w:type="dxa"/>
                  <w:tcBorders>
                    <w:tl2br w:val="nil"/>
                    <w:tr2bl w:val="nil"/>
                  </w:tcBorders>
                  <w:vAlign w:val="center"/>
                </w:tcPr>
                <w:p w14:paraId="0053D30E">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40.47</w:t>
                  </w:r>
                </w:p>
              </w:tc>
            </w:tr>
            <w:tr w14:paraId="025EBB55">
              <w:tblPrEx>
                <w:tblBorders>
                  <w:top w:val="single" w:color="auto" w:sz="4" w:space="0"/>
                  <w:left w:val="single" w:color="auto" w:sz="4" w:space="0"/>
                  <w:bottom w:val="single" w:color="auto" w:sz="4" w:space="0"/>
                  <w:right w:val="single" w:color="auto" w:sz="4" w:space="0"/>
                  <w:insideH w:val="single" w:color="auto" w:sz="6" w:space="0"/>
                  <w:insideV w:val="single" w:color="auto" w:sz="4" w:space="0"/>
                </w:tblBorders>
                <w:tblCellMar>
                  <w:top w:w="0" w:type="dxa"/>
                  <w:left w:w="108" w:type="dxa"/>
                  <w:bottom w:w="0" w:type="dxa"/>
                  <w:right w:w="108" w:type="dxa"/>
                </w:tblCellMar>
              </w:tblPrEx>
              <w:trPr>
                <w:cantSplit/>
                <w:trHeight w:val="378" w:hRule="atLeast"/>
                <w:jc w:val="center"/>
              </w:trPr>
              <w:tc>
                <w:tcPr>
                  <w:tcW w:w="917" w:type="dxa"/>
                  <w:tcBorders>
                    <w:tl2br w:val="nil"/>
                    <w:tr2bl w:val="nil"/>
                  </w:tcBorders>
                  <w:vAlign w:val="center"/>
                </w:tcPr>
                <w:p w14:paraId="4D57DE42">
                  <w:pPr>
                    <w:keepNext w:val="0"/>
                    <w:keepLines w:val="0"/>
                    <w:pageBreakBefore w:val="0"/>
                    <w:kinsoku/>
                    <w:wordWrap/>
                    <w:overflowPunct/>
                    <w:topLinePunct w:val="0"/>
                    <w:bidi w:val="0"/>
                    <w:adjustRightInd w:val="0"/>
                    <w:snapToGrid w:val="0"/>
                    <w:spacing w:line="320" w:lineRule="exact"/>
                    <w:jc w:val="center"/>
                    <w:textAlignment w:val="baseline"/>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敏感点</w:t>
                  </w:r>
                </w:p>
              </w:tc>
              <w:tc>
                <w:tcPr>
                  <w:tcW w:w="1575" w:type="dxa"/>
                  <w:tcBorders>
                    <w:tl2br w:val="nil"/>
                    <w:tr2bl w:val="nil"/>
                  </w:tcBorders>
                  <w:vAlign w:val="center"/>
                </w:tcPr>
                <w:p w14:paraId="496008A4">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崇瓦张村</w:t>
                  </w:r>
                </w:p>
              </w:tc>
              <w:tc>
                <w:tcPr>
                  <w:tcW w:w="903" w:type="dxa"/>
                  <w:tcBorders>
                    <w:tl2br w:val="nil"/>
                    <w:tr2bl w:val="nil"/>
                  </w:tcBorders>
                  <w:vAlign w:val="center"/>
                </w:tcPr>
                <w:p w14:paraId="695BB042">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Cs w:val="21"/>
                      <w:highlight w:val="none"/>
                      <w:lang w:val="en-US" w:eastAsia="zh-CN"/>
                    </w:rPr>
                  </w:pPr>
                  <w:r>
                    <w:rPr>
                      <w:rFonts w:hint="eastAsia" w:cs="Times New Roman"/>
                      <w:color w:val="auto"/>
                      <w:kern w:val="0"/>
                      <w:szCs w:val="21"/>
                      <w:highlight w:val="none"/>
                      <w:lang w:val="en-US" w:eastAsia="zh-CN"/>
                    </w:rPr>
                    <w:t>22.67</w:t>
                  </w:r>
                </w:p>
              </w:tc>
              <w:tc>
                <w:tcPr>
                  <w:tcW w:w="903" w:type="dxa"/>
                  <w:tcBorders>
                    <w:tl2br w:val="nil"/>
                    <w:tr2bl w:val="nil"/>
                  </w:tcBorders>
                  <w:shd w:val="clear" w:color="auto" w:fill="auto"/>
                  <w:vAlign w:val="center"/>
                </w:tcPr>
                <w:p w14:paraId="27B32036">
                  <w:pPr>
                    <w:keepNext w:val="0"/>
                    <w:keepLines w:val="0"/>
                    <w:pageBreakBefore w:val="0"/>
                    <w:kinsoku/>
                    <w:wordWrap/>
                    <w:overflowPunct/>
                    <w:topLinePunct w:val="0"/>
                    <w:bidi w:val="0"/>
                    <w:adjustRightInd w:val="0"/>
                    <w:snapToGrid w:val="0"/>
                    <w:spacing w:line="320" w:lineRule="exact"/>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Cs w:val="21"/>
                      <w:highlight w:val="none"/>
                      <w:lang w:val="en-US" w:eastAsia="zh-CN"/>
                    </w:rPr>
                    <w:t>22.67</w:t>
                  </w:r>
                </w:p>
              </w:tc>
              <w:tc>
                <w:tcPr>
                  <w:tcW w:w="903" w:type="dxa"/>
                  <w:tcBorders>
                    <w:tl2br w:val="nil"/>
                    <w:tr2bl w:val="nil"/>
                  </w:tcBorders>
                  <w:shd w:val="clear" w:color="auto" w:fill="auto"/>
                  <w:vAlign w:val="center"/>
                </w:tcPr>
                <w:p w14:paraId="734DD8C5">
                  <w:pPr>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53.3</w:t>
                  </w:r>
                </w:p>
              </w:tc>
              <w:tc>
                <w:tcPr>
                  <w:tcW w:w="903" w:type="dxa"/>
                  <w:tcBorders>
                    <w:tl2br w:val="nil"/>
                    <w:tr2bl w:val="nil"/>
                  </w:tcBorders>
                  <w:shd w:val="clear" w:color="auto" w:fill="auto"/>
                  <w:vAlign w:val="center"/>
                </w:tcPr>
                <w:p w14:paraId="4E9E5568">
                  <w:pPr>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44.2</w:t>
                  </w:r>
                </w:p>
              </w:tc>
              <w:tc>
                <w:tcPr>
                  <w:tcW w:w="903" w:type="dxa"/>
                  <w:tcBorders>
                    <w:tl2br w:val="nil"/>
                    <w:tr2bl w:val="nil"/>
                  </w:tcBorders>
                  <w:vAlign w:val="center"/>
                </w:tcPr>
                <w:p w14:paraId="561397BB">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53.3</w:t>
                  </w:r>
                </w:p>
              </w:tc>
              <w:tc>
                <w:tcPr>
                  <w:tcW w:w="905" w:type="dxa"/>
                  <w:tcBorders>
                    <w:tl2br w:val="nil"/>
                    <w:tr2bl w:val="nil"/>
                  </w:tcBorders>
                  <w:vAlign w:val="center"/>
                </w:tcPr>
                <w:p w14:paraId="4EE4BBBB">
                  <w:pPr>
                    <w:keepNext w:val="0"/>
                    <w:keepLines w:val="0"/>
                    <w:pageBreakBefore w:val="0"/>
                    <w:kinsoku/>
                    <w:wordWrap/>
                    <w:overflowPunct/>
                    <w:topLinePunct w:val="0"/>
                    <w:bidi w:val="0"/>
                    <w:adjustRightInd w:val="0"/>
                    <w:snapToGrid w:val="0"/>
                    <w:spacing w:line="320" w:lineRule="exact"/>
                    <w:jc w:val="center"/>
                    <w:textAlignment w:val="baseline"/>
                    <w:rPr>
                      <w:rFonts w:hint="default" w:cs="Times New Roman"/>
                      <w:color w:val="auto"/>
                      <w:szCs w:val="21"/>
                      <w:highlight w:val="none"/>
                      <w:lang w:val="en-US" w:eastAsia="zh-CN"/>
                    </w:rPr>
                  </w:pPr>
                  <w:r>
                    <w:rPr>
                      <w:rFonts w:hint="eastAsia" w:cs="Times New Roman"/>
                      <w:color w:val="auto"/>
                      <w:szCs w:val="21"/>
                      <w:highlight w:val="none"/>
                      <w:lang w:val="en-US" w:eastAsia="zh-CN"/>
                    </w:rPr>
                    <w:t>44.23</w:t>
                  </w:r>
                </w:p>
              </w:tc>
            </w:tr>
          </w:tbl>
          <w:p w14:paraId="0577651A">
            <w:pPr>
              <w:spacing w:line="480" w:lineRule="exact"/>
              <w:ind w:firstLine="496" w:firstLineChars="2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pacing w:val="4"/>
                <w:kern w:val="2"/>
                <w:sz w:val="24"/>
                <w:szCs w:val="24"/>
                <w:highlight w:val="none"/>
                <w:lang w:val="en-US" w:eastAsia="zh-CN" w:bidi="ar-SA"/>
              </w:rPr>
              <w:t>根据</w:t>
            </w:r>
            <w:r>
              <w:rPr>
                <w:rFonts w:hint="eastAsia" w:ascii="Times New Roman" w:hAnsi="Times New Roman" w:eastAsia="宋体" w:cs="Times New Roman"/>
                <w:color w:val="auto"/>
                <w:spacing w:val="4"/>
                <w:kern w:val="2"/>
                <w:sz w:val="24"/>
                <w:szCs w:val="24"/>
                <w:highlight w:val="none"/>
                <w:lang w:val="en-US" w:eastAsia="zh-CN" w:bidi="ar-SA"/>
              </w:rPr>
              <w:t>以上</w:t>
            </w:r>
            <w:r>
              <w:rPr>
                <w:rFonts w:hint="default" w:ascii="Times New Roman" w:hAnsi="Times New Roman" w:eastAsia="宋体" w:cs="Times New Roman"/>
                <w:color w:val="auto"/>
                <w:spacing w:val="4"/>
                <w:kern w:val="2"/>
                <w:sz w:val="24"/>
                <w:szCs w:val="24"/>
                <w:highlight w:val="none"/>
                <w:lang w:val="en-US" w:eastAsia="zh-CN" w:bidi="ar-SA"/>
              </w:rPr>
              <w:t>预测结果可</w:t>
            </w:r>
            <w:r>
              <w:rPr>
                <w:rFonts w:hint="eastAsia" w:cs="Times New Roman"/>
                <w:color w:val="auto"/>
                <w:spacing w:val="4"/>
                <w:kern w:val="2"/>
                <w:sz w:val="24"/>
                <w:szCs w:val="24"/>
                <w:highlight w:val="none"/>
                <w:lang w:val="en-US" w:eastAsia="zh-CN" w:bidi="ar-SA"/>
              </w:rPr>
              <w:t>知</w:t>
            </w:r>
            <w:r>
              <w:rPr>
                <w:rFonts w:hint="default" w:ascii="Times New Roman" w:hAnsi="Times New Roman" w:eastAsia="宋体" w:cs="Times New Roman"/>
                <w:color w:val="auto"/>
                <w:spacing w:val="4"/>
                <w:kern w:val="2"/>
                <w:sz w:val="24"/>
                <w:szCs w:val="24"/>
                <w:highlight w:val="none"/>
                <w:lang w:val="en-US" w:eastAsia="zh-CN" w:bidi="ar-SA"/>
              </w:rPr>
              <w:t>，厂</w:t>
            </w:r>
            <w:r>
              <w:rPr>
                <w:rFonts w:hint="eastAsia" w:ascii="Times New Roman" w:hAnsi="Times New Roman" w:eastAsia="宋体" w:cs="Times New Roman"/>
                <w:color w:val="auto"/>
                <w:spacing w:val="4"/>
                <w:kern w:val="2"/>
                <w:sz w:val="24"/>
                <w:szCs w:val="24"/>
                <w:highlight w:val="none"/>
                <w:lang w:val="en-US" w:eastAsia="zh-CN" w:bidi="ar-SA"/>
              </w:rPr>
              <w:t>区</w:t>
            </w:r>
            <w:r>
              <w:rPr>
                <w:rFonts w:hint="default" w:ascii="Times New Roman" w:hAnsi="Times New Roman" w:eastAsia="宋体" w:cs="Times New Roman"/>
                <w:color w:val="auto"/>
                <w:spacing w:val="4"/>
                <w:kern w:val="2"/>
                <w:sz w:val="24"/>
                <w:szCs w:val="24"/>
                <w:highlight w:val="none"/>
                <w:lang w:val="en-US" w:eastAsia="zh-CN" w:bidi="ar-SA"/>
              </w:rPr>
              <w:t>各边界噪声</w:t>
            </w:r>
            <w:r>
              <w:rPr>
                <w:rFonts w:hint="eastAsia" w:cs="Times New Roman"/>
                <w:color w:val="auto"/>
                <w:spacing w:val="4"/>
                <w:kern w:val="2"/>
                <w:sz w:val="24"/>
                <w:szCs w:val="24"/>
                <w:highlight w:val="none"/>
                <w:lang w:val="en-US" w:eastAsia="zh-CN" w:bidi="ar-SA"/>
              </w:rPr>
              <w:t>预测值</w:t>
            </w:r>
            <w:r>
              <w:rPr>
                <w:rFonts w:hint="default" w:ascii="Times New Roman" w:hAnsi="Times New Roman" w:eastAsia="宋体" w:cs="Times New Roman"/>
                <w:color w:val="auto"/>
                <w:spacing w:val="4"/>
                <w:kern w:val="2"/>
                <w:sz w:val="24"/>
                <w:szCs w:val="24"/>
                <w:highlight w:val="none"/>
                <w:lang w:val="en-US" w:eastAsia="zh-CN" w:bidi="ar-SA"/>
              </w:rPr>
              <w:t>可满足《工业企业厂界环境噪声排放标准》（GB12348-2008）</w:t>
            </w:r>
            <w:r>
              <w:rPr>
                <w:rFonts w:hint="eastAsia" w:cs="Times New Roman"/>
                <w:color w:val="auto"/>
                <w:spacing w:val="4"/>
                <w:kern w:val="2"/>
                <w:sz w:val="24"/>
                <w:szCs w:val="24"/>
                <w:highlight w:val="none"/>
                <w:lang w:val="en-US" w:eastAsia="zh-CN" w:bidi="ar-SA"/>
              </w:rPr>
              <w:t>2类</w:t>
            </w:r>
            <w:r>
              <w:rPr>
                <w:rFonts w:hint="default" w:ascii="Times New Roman" w:hAnsi="Times New Roman" w:eastAsia="宋体" w:cs="Times New Roman"/>
                <w:color w:val="auto"/>
                <w:spacing w:val="4"/>
                <w:kern w:val="2"/>
                <w:sz w:val="24"/>
                <w:szCs w:val="24"/>
                <w:highlight w:val="none"/>
                <w:lang w:val="en-US" w:eastAsia="zh-CN" w:bidi="ar-SA"/>
              </w:rPr>
              <w:t>标准要求</w:t>
            </w:r>
            <w:r>
              <w:rPr>
                <w:rFonts w:hint="eastAsia" w:cs="Times New Roman"/>
                <w:color w:val="auto"/>
                <w:spacing w:val="4"/>
                <w:kern w:val="2"/>
                <w:sz w:val="24"/>
                <w:szCs w:val="24"/>
                <w:highlight w:val="none"/>
                <w:lang w:val="en-US" w:eastAsia="zh-CN" w:bidi="ar-SA"/>
              </w:rPr>
              <w:t>，敏感点噪声预测值可满足《声环境质量标准》（GB3096-2008）1类标准要求。</w:t>
            </w:r>
          </w:p>
          <w:p w14:paraId="3C48FD93">
            <w:pPr>
              <w:spacing w:line="460" w:lineRule="exact"/>
              <w:ind w:firstLine="480" w:firstLineChars="200"/>
              <w:rPr>
                <w:rFonts w:hint="default"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噪声污染防治措施</w:t>
            </w:r>
          </w:p>
          <w:p w14:paraId="14F38CC1">
            <w:pPr>
              <w:spacing w:line="460" w:lineRule="exact"/>
              <w:ind w:firstLine="496" w:firstLineChars="200"/>
              <w:rPr>
                <w:rFonts w:hint="eastAsia" w:cs="Times New Roman"/>
                <w:bCs/>
                <w:color w:val="auto"/>
                <w:spacing w:val="4"/>
                <w:sz w:val="24"/>
                <w:szCs w:val="24"/>
                <w:highlight w:val="none"/>
                <w:lang w:val="en-US" w:eastAsia="zh-CN"/>
              </w:rPr>
            </w:pPr>
            <w:r>
              <w:rPr>
                <w:rFonts w:hint="eastAsia" w:ascii="Times New Roman" w:hAnsi="Times New Roman" w:cs="Times New Roman"/>
                <w:bCs/>
                <w:color w:val="auto"/>
                <w:spacing w:val="4"/>
                <w:sz w:val="24"/>
                <w:szCs w:val="24"/>
                <w:highlight w:val="none"/>
                <w:lang w:val="en-US" w:eastAsia="zh-CN"/>
              </w:rPr>
              <w:t>本项目主要产噪设备为循环泵</w:t>
            </w:r>
            <w:r>
              <w:rPr>
                <w:rFonts w:hint="eastAsia" w:cs="Times New Roman"/>
                <w:bCs/>
                <w:color w:val="auto"/>
                <w:spacing w:val="4"/>
                <w:sz w:val="24"/>
                <w:szCs w:val="24"/>
                <w:highlight w:val="none"/>
                <w:lang w:val="en-US" w:eastAsia="zh-CN"/>
              </w:rPr>
              <w:t>、补水泵、鼓风机，均位于锅炉房内，通过进行</w:t>
            </w:r>
            <w:r>
              <w:rPr>
                <w:rFonts w:hint="eastAsia" w:ascii="Times New Roman" w:hAnsi="Times New Roman" w:cs="Times New Roman"/>
                <w:bCs/>
                <w:color w:val="auto"/>
                <w:spacing w:val="4"/>
                <w:sz w:val="24"/>
                <w:szCs w:val="24"/>
                <w:highlight w:val="none"/>
                <w:lang w:val="en-US" w:eastAsia="zh-CN"/>
              </w:rPr>
              <w:t>定期维护，加强对噪声控制装置的维护保养</w:t>
            </w:r>
            <w:r>
              <w:rPr>
                <w:rFonts w:hint="eastAsia" w:cs="Times New Roman"/>
                <w:bCs/>
                <w:color w:val="auto"/>
                <w:spacing w:val="4"/>
                <w:sz w:val="24"/>
                <w:szCs w:val="24"/>
                <w:highlight w:val="none"/>
                <w:lang w:val="en-US" w:eastAsia="zh-CN"/>
              </w:rPr>
              <w:t>，</w:t>
            </w:r>
            <w:r>
              <w:rPr>
                <w:rFonts w:hint="eastAsia" w:ascii="Times New Roman" w:hAnsi="Times New Roman" w:cs="Times New Roman"/>
                <w:bCs/>
                <w:color w:val="auto"/>
                <w:spacing w:val="4"/>
                <w:sz w:val="24"/>
                <w:szCs w:val="24"/>
                <w:highlight w:val="none"/>
                <w:lang w:val="en-US" w:eastAsia="zh-CN"/>
              </w:rPr>
              <w:t>使其保持良好运行状态</w:t>
            </w:r>
            <w:r>
              <w:rPr>
                <w:rFonts w:hint="eastAsia" w:cs="Times New Roman"/>
                <w:bCs/>
                <w:color w:val="auto"/>
                <w:spacing w:val="4"/>
                <w:sz w:val="24"/>
                <w:szCs w:val="24"/>
                <w:highlight w:val="none"/>
                <w:lang w:val="en-US" w:eastAsia="zh-CN"/>
              </w:rPr>
              <w:t>。</w:t>
            </w:r>
          </w:p>
          <w:p w14:paraId="59F5FC7D">
            <w:pPr>
              <w:spacing w:line="460" w:lineRule="exact"/>
              <w:ind w:firstLine="480" w:firstLineChars="200"/>
              <w:rPr>
                <w:rFonts w:hint="default" w:ascii="Times New Roman" w:hAnsi="Times New Roman" w:eastAsia="宋体" w:cs="Times New Roman"/>
                <w:bCs/>
                <w:color w:val="auto"/>
                <w:sz w:val="24"/>
                <w:highlight w:val="none"/>
                <w:lang w:eastAsia="zh-CN"/>
              </w:rPr>
            </w:pPr>
            <w:r>
              <w:rPr>
                <w:rFonts w:hint="default" w:ascii="Times New Roman" w:hAnsi="Times New Roman" w:eastAsia="宋体" w:cs="Times New Roman"/>
                <w:bCs/>
                <w:color w:val="auto"/>
                <w:sz w:val="24"/>
                <w:highlight w:val="none"/>
                <w:lang w:val="en-US" w:eastAsia="zh-CN"/>
              </w:rPr>
              <w:t>在采取以上防噪措施后，可以有效减少噪声对周围环境的影响。</w:t>
            </w:r>
          </w:p>
          <w:p w14:paraId="04E9384C">
            <w:pPr>
              <w:spacing w:line="460" w:lineRule="exact"/>
              <w:ind w:firstLine="480" w:firstLineChars="200"/>
              <w:rPr>
                <w:rFonts w:hint="default" w:ascii="Times New Roman" w:hAnsi="Times New Roman" w:eastAsia="宋体" w:cs="Times New Roman"/>
                <w:bCs/>
                <w:color w:val="auto"/>
                <w:sz w:val="24"/>
                <w:highlight w:val="none"/>
                <w:lang w:val="en-US" w:eastAsia="zh-CN"/>
              </w:rPr>
            </w:pPr>
            <w:r>
              <w:rPr>
                <w:rFonts w:hint="eastAsia" w:ascii="Times New Roman" w:hAnsi="Times New Roman" w:eastAsia="宋体" w:cs="Times New Roman"/>
                <w:bCs/>
                <w:color w:val="auto"/>
                <w:sz w:val="24"/>
                <w:highlight w:val="none"/>
                <w:lang w:val="en-US" w:eastAsia="zh-CN"/>
              </w:rPr>
              <w:t>4.噪声监测计划</w:t>
            </w:r>
          </w:p>
          <w:p w14:paraId="023DBEB9">
            <w:pPr>
              <w:jc w:val="center"/>
              <w:rPr>
                <w:rFonts w:hint="eastAsia" w:ascii="Times New Roman" w:hAnsi="Times New Roman" w:eastAsia="黑体" w:cs="Times New Roman"/>
                <w:b w:val="0"/>
                <w:bCs w:val="0"/>
                <w:color w:val="auto"/>
                <w:kern w:val="2"/>
                <w:sz w:val="21"/>
                <w:szCs w:val="21"/>
                <w:highlight w:val="none"/>
                <w:lang w:val="en-US" w:eastAsia="zh-CN" w:bidi="ar-SA"/>
              </w:rPr>
            </w:pPr>
          </w:p>
          <w:p w14:paraId="24712B30">
            <w:pPr>
              <w:jc w:val="center"/>
              <w:rPr>
                <w:rFonts w:hint="default" w:ascii="Times New Roman" w:hAnsi="Times New Roman" w:eastAsia="黑体" w:cs="Times New Roman"/>
                <w:b w:val="0"/>
                <w:bCs w:val="0"/>
                <w:color w:val="auto"/>
                <w:kern w:val="2"/>
                <w:sz w:val="21"/>
                <w:szCs w:val="21"/>
                <w:highlight w:val="none"/>
                <w:lang w:val="en-US" w:eastAsia="zh-CN" w:bidi="ar-SA"/>
              </w:rPr>
            </w:pPr>
            <w:r>
              <w:rPr>
                <w:rFonts w:hint="eastAsia" w:ascii="Times New Roman" w:hAnsi="Times New Roman" w:eastAsia="黑体" w:cs="Times New Roman"/>
                <w:b w:val="0"/>
                <w:bCs w:val="0"/>
                <w:color w:val="auto"/>
                <w:kern w:val="2"/>
                <w:sz w:val="21"/>
                <w:szCs w:val="21"/>
                <w:highlight w:val="none"/>
                <w:lang w:val="en-US" w:eastAsia="zh-CN" w:bidi="ar-SA"/>
              </w:rPr>
              <w:t>表4</w:t>
            </w:r>
            <w:r>
              <w:rPr>
                <w:rFonts w:hint="eastAsia" w:eastAsia="黑体" w:cs="Times New Roman"/>
                <w:b w:val="0"/>
                <w:bCs w:val="0"/>
                <w:color w:val="auto"/>
                <w:kern w:val="2"/>
                <w:sz w:val="21"/>
                <w:szCs w:val="21"/>
                <w:highlight w:val="none"/>
                <w:lang w:val="en-US" w:eastAsia="zh-CN" w:bidi="ar-SA"/>
              </w:rPr>
              <w:t>.7-3</w:t>
            </w:r>
            <w:r>
              <w:rPr>
                <w:rFonts w:hint="eastAsia" w:ascii="Times New Roman" w:hAnsi="Times New Roman" w:eastAsia="黑体" w:cs="Times New Roman"/>
                <w:b w:val="0"/>
                <w:bCs w:val="0"/>
                <w:color w:val="auto"/>
                <w:kern w:val="2"/>
                <w:sz w:val="21"/>
                <w:szCs w:val="21"/>
                <w:highlight w:val="none"/>
                <w:lang w:val="en-US" w:eastAsia="zh-CN" w:bidi="ar-SA"/>
              </w:rPr>
              <w:t xml:space="preserve">  </w:t>
            </w:r>
            <w:r>
              <w:rPr>
                <w:rFonts w:hint="eastAsia" w:eastAsia="黑体" w:cs="Times New Roman"/>
                <w:b w:val="0"/>
                <w:bCs w:val="0"/>
                <w:color w:val="auto"/>
                <w:kern w:val="2"/>
                <w:sz w:val="21"/>
                <w:szCs w:val="21"/>
                <w:highlight w:val="none"/>
                <w:lang w:val="en-US" w:eastAsia="zh-CN" w:bidi="ar-SA"/>
              </w:rPr>
              <w:t xml:space="preserve"> </w:t>
            </w:r>
            <w:r>
              <w:rPr>
                <w:rFonts w:hint="eastAsia" w:ascii="Times New Roman" w:hAnsi="Times New Roman" w:eastAsia="黑体" w:cs="Times New Roman"/>
                <w:b w:val="0"/>
                <w:bCs w:val="0"/>
                <w:color w:val="auto"/>
                <w:kern w:val="2"/>
                <w:sz w:val="21"/>
                <w:szCs w:val="21"/>
                <w:highlight w:val="none"/>
                <w:lang w:val="en-US" w:eastAsia="zh-CN" w:bidi="ar-SA"/>
              </w:rPr>
              <w:t>噪声监测计划一览表</w:t>
            </w:r>
          </w:p>
          <w:tbl>
            <w:tblPr>
              <w:tblStyle w:val="24"/>
              <w:tblW w:w="79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45"/>
              <w:gridCol w:w="2645"/>
              <w:gridCol w:w="2647"/>
            </w:tblGrid>
            <w:tr w14:paraId="32CD8F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5" w:type="dxa"/>
                  <w:tcBorders>
                    <w:tl2br w:val="nil"/>
                    <w:tr2bl w:val="nil"/>
                  </w:tcBorders>
                  <w:vAlign w:val="center"/>
                </w:tcPr>
                <w:p w14:paraId="0C0C17BB">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宋体" w:cs="Times New Roman"/>
                      <w:color w:val="auto"/>
                      <w:kern w:val="2"/>
                      <w:sz w:val="21"/>
                      <w:szCs w:val="21"/>
                      <w:highlight w:val="none"/>
                      <w:u w:val="none"/>
                    </w:rPr>
                  </w:pPr>
                  <w:r>
                    <w:rPr>
                      <w:rFonts w:hint="default" w:ascii="Times New Roman" w:hAnsi="Times New Roman" w:eastAsia="宋体" w:cs="Times New Roman"/>
                      <w:color w:val="auto"/>
                      <w:sz w:val="21"/>
                      <w:szCs w:val="21"/>
                      <w:highlight w:val="none"/>
                      <w:u w:val="none"/>
                    </w:rPr>
                    <w:t>监测点位</w:t>
                  </w:r>
                </w:p>
              </w:tc>
              <w:tc>
                <w:tcPr>
                  <w:tcW w:w="2645" w:type="dxa"/>
                  <w:tcBorders>
                    <w:tl2br w:val="nil"/>
                    <w:tr2bl w:val="nil"/>
                  </w:tcBorders>
                  <w:vAlign w:val="center"/>
                </w:tcPr>
                <w:p w14:paraId="24245F26">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eastAsia" w:ascii="Times New Roman" w:hAnsi="Times New Roman" w:eastAsia="宋体" w:cs="Times New Roman"/>
                      <w:color w:val="auto"/>
                      <w:kern w:val="2"/>
                      <w:sz w:val="21"/>
                      <w:szCs w:val="21"/>
                      <w:highlight w:val="none"/>
                      <w:u w:val="none"/>
                      <w:lang w:eastAsia="zh-CN"/>
                    </w:rPr>
                  </w:pPr>
                  <w:r>
                    <w:rPr>
                      <w:rFonts w:hint="default" w:ascii="Times New Roman" w:hAnsi="Times New Roman" w:eastAsia="宋体" w:cs="Times New Roman"/>
                      <w:color w:val="auto"/>
                      <w:sz w:val="21"/>
                      <w:szCs w:val="21"/>
                      <w:highlight w:val="none"/>
                      <w:u w:val="none"/>
                    </w:rPr>
                    <w:t>监测</w:t>
                  </w:r>
                  <w:r>
                    <w:rPr>
                      <w:rFonts w:hint="eastAsia" w:ascii="Times New Roman" w:hAnsi="Times New Roman" w:eastAsia="宋体" w:cs="Times New Roman"/>
                      <w:color w:val="auto"/>
                      <w:sz w:val="21"/>
                      <w:szCs w:val="21"/>
                      <w:highlight w:val="none"/>
                      <w:u w:val="none"/>
                      <w:lang w:val="en-US" w:eastAsia="zh-CN"/>
                    </w:rPr>
                    <w:t>项目</w:t>
                  </w:r>
                </w:p>
              </w:tc>
              <w:tc>
                <w:tcPr>
                  <w:tcW w:w="2647" w:type="dxa"/>
                  <w:tcBorders>
                    <w:tl2br w:val="nil"/>
                    <w:tr2bl w:val="nil"/>
                  </w:tcBorders>
                  <w:vAlign w:val="center"/>
                </w:tcPr>
                <w:p w14:paraId="370139B9">
                  <w:pPr>
                    <w:keepNext w:val="0"/>
                    <w:keepLines w:val="0"/>
                    <w:pageBreakBefore w:val="0"/>
                    <w:widowControl w:val="0"/>
                    <w:kinsoku/>
                    <w:wordWrap/>
                    <w:overflowPunct/>
                    <w:topLinePunct w:val="0"/>
                    <w:autoSpaceDE/>
                    <w:autoSpaceDN/>
                    <w:bidi w:val="0"/>
                    <w:adjustRightInd w:val="0"/>
                    <w:snapToGrid w:val="0"/>
                    <w:spacing w:line="320" w:lineRule="exact"/>
                    <w:ind w:left="0"/>
                    <w:jc w:val="center"/>
                    <w:textAlignment w:val="auto"/>
                    <w:rPr>
                      <w:rFonts w:hint="default" w:ascii="Times New Roman" w:hAnsi="Times New Roman" w:eastAsia="宋体" w:cs="Times New Roman"/>
                      <w:color w:val="auto"/>
                      <w:kern w:val="2"/>
                      <w:sz w:val="21"/>
                      <w:szCs w:val="21"/>
                      <w:highlight w:val="none"/>
                      <w:u w:val="none"/>
                    </w:rPr>
                  </w:pPr>
                  <w:r>
                    <w:rPr>
                      <w:rFonts w:hint="default" w:ascii="Times New Roman" w:hAnsi="Times New Roman" w:eastAsia="宋体" w:cs="Times New Roman"/>
                      <w:color w:val="auto"/>
                      <w:sz w:val="21"/>
                      <w:szCs w:val="21"/>
                      <w:highlight w:val="none"/>
                      <w:u w:val="none"/>
                    </w:rPr>
                    <w:t>监测频次</w:t>
                  </w:r>
                </w:p>
              </w:tc>
            </w:tr>
            <w:tr w14:paraId="20753B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5" w:type="dxa"/>
                  <w:tcBorders>
                    <w:tl2br w:val="nil"/>
                    <w:tr2bl w:val="nil"/>
                  </w:tcBorders>
                  <w:vAlign w:val="center"/>
                </w:tcPr>
                <w:p w14:paraId="0BD50D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厂界</w:t>
                  </w:r>
                  <w:r>
                    <w:rPr>
                      <w:rFonts w:hint="eastAsia" w:ascii="Times New Roman" w:hAnsi="Times New Roman" w:eastAsia="宋体" w:cs="Times New Roman"/>
                      <w:color w:val="auto"/>
                      <w:szCs w:val="21"/>
                      <w:highlight w:val="none"/>
                      <w:lang w:val="en-US" w:eastAsia="zh-CN"/>
                    </w:rPr>
                    <w:t>四周1#-</w:t>
                  </w:r>
                  <w:r>
                    <w:rPr>
                      <w:rFonts w:hint="eastAsia" w:cs="Times New Roman"/>
                      <w:color w:val="auto"/>
                      <w:szCs w:val="21"/>
                      <w:highlight w:val="none"/>
                      <w:lang w:val="en-US" w:eastAsia="zh-CN"/>
                    </w:rPr>
                    <w:t>8</w:t>
                  </w:r>
                  <w:r>
                    <w:rPr>
                      <w:rFonts w:hint="eastAsia" w:ascii="Times New Roman" w:hAnsi="Times New Roman" w:eastAsia="宋体" w:cs="Times New Roman"/>
                      <w:color w:val="auto"/>
                      <w:szCs w:val="21"/>
                      <w:highlight w:val="none"/>
                      <w:lang w:val="en-US" w:eastAsia="zh-CN"/>
                    </w:rPr>
                    <w:t>#</w:t>
                  </w:r>
                </w:p>
              </w:tc>
              <w:tc>
                <w:tcPr>
                  <w:tcW w:w="2645" w:type="dxa"/>
                  <w:tcBorders>
                    <w:tl2br w:val="nil"/>
                    <w:tr2bl w:val="nil"/>
                  </w:tcBorders>
                  <w:vAlign w:val="center"/>
                </w:tcPr>
                <w:p w14:paraId="24351D7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等效声级、最大声级</w:t>
                  </w:r>
                </w:p>
              </w:tc>
              <w:tc>
                <w:tcPr>
                  <w:tcW w:w="2647" w:type="dxa"/>
                  <w:tcBorders>
                    <w:tl2br w:val="nil"/>
                    <w:tr2bl w:val="nil"/>
                  </w:tcBorders>
                  <w:vAlign w:val="center"/>
                </w:tcPr>
                <w:p w14:paraId="3A569C0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Cs w:val="21"/>
                      <w:highlight w:val="none"/>
                    </w:rPr>
                    <w:t>1次/季度</w:t>
                  </w:r>
                </w:p>
              </w:tc>
            </w:tr>
          </w:tbl>
          <w:p w14:paraId="21D5E4F4">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rPr>
            </w:pPr>
            <w:r>
              <w:rPr>
                <w:rFonts w:hint="eastAsia" w:ascii="Times New Roman" w:hAnsi="Times New Roman" w:eastAsia="宋体" w:cs="Times New Roman"/>
                <w:b/>
                <w:color w:val="auto"/>
                <w:sz w:val="24"/>
                <w:szCs w:val="24"/>
                <w:highlight w:val="none"/>
                <w:lang w:val="en-US" w:eastAsia="zh-CN"/>
              </w:rPr>
              <w:t xml:space="preserve">4.8 </w:t>
            </w:r>
            <w:r>
              <w:rPr>
                <w:rFonts w:hint="default" w:ascii="Times New Roman" w:hAnsi="Times New Roman" w:eastAsia="宋体" w:cs="Times New Roman"/>
                <w:b/>
                <w:color w:val="auto"/>
                <w:sz w:val="24"/>
                <w:szCs w:val="24"/>
                <w:highlight w:val="none"/>
              </w:rPr>
              <w:t>固体废物</w:t>
            </w:r>
          </w:p>
          <w:p w14:paraId="0541606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本项目固体废物产生及利用处置情况见</w:t>
            </w:r>
            <w:r>
              <w:rPr>
                <w:rFonts w:hint="eastAsia" w:cs="Times New Roman"/>
                <w:bCs/>
                <w:color w:val="auto"/>
                <w:sz w:val="24"/>
                <w:highlight w:val="none"/>
                <w:lang w:val="en-US" w:eastAsia="zh-CN"/>
              </w:rPr>
              <w:t>下</w:t>
            </w:r>
            <w:r>
              <w:rPr>
                <w:rFonts w:hint="default" w:ascii="Times New Roman" w:hAnsi="Times New Roman" w:eastAsia="宋体" w:cs="Times New Roman"/>
                <w:bCs/>
                <w:color w:val="auto"/>
                <w:sz w:val="24"/>
                <w:highlight w:val="none"/>
                <w:lang w:val="en-US" w:eastAsia="zh-CN"/>
              </w:rPr>
              <w:t>表。</w:t>
            </w:r>
          </w:p>
          <w:p w14:paraId="0B557BA7">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表4</w:t>
            </w:r>
            <w:r>
              <w:rPr>
                <w:rFonts w:hint="eastAsia" w:eastAsia="黑体" w:cs="Times New Roman"/>
                <w:b w:val="0"/>
                <w:bCs w:val="0"/>
                <w:color w:val="auto"/>
                <w:kern w:val="2"/>
                <w:sz w:val="21"/>
                <w:szCs w:val="21"/>
                <w:highlight w:val="none"/>
                <w:lang w:val="en-US" w:eastAsia="zh-CN" w:bidi="ar-SA"/>
              </w:rPr>
              <w:t>.8-1</w:t>
            </w:r>
            <w:r>
              <w:rPr>
                <w:rFonts w:hint="default" w:ascii="Times New Roman" w:hAnsi="Times New Roman" w:eastAsia="黑体" w:cs="Times New Roman"/>
                <w:b w:val="0"/>
                <w:bCs w:val="0"/>
                <w:color w:val="auto"/>
                <w:kern w:val="2"/>
                <w:sz w:val="21"/>
                <w:szCs w:val="21"/>
                <w:highlight w:val="none"/>
                <w:lang w:val="en-US" w:eastAsia="zh-CN" w:bidi="ar-SA"/>
              </w:rPr>
              <w:t xml:space="preserve">  固体废物产生情况及利用处置情况表</w:t>
            </w:r>
          </w:p>
          <w:tbl>
            <w:tblPr>
              <w:tblStyle w:val="24"/>
              <w:tblW w:w="811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639"/>
              <w:gridCol w:w="705"/>
              <w:gridCol w:w="570"/>
              <w:gridCol w:w="765"/>
              <w:gridCol w:w="825"/>
              <w:gridCol w:w="938"/>
              <w:gridCol w:w="840"/>
              <w:gridCol w:w="645"/>
              <w:gridCol w:w="598"/>
              <w:gridCol w:w="1590"/>
            </w:tblGrid>
            <w:tr w14:paraId="6ABA6A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600" w:hRule="atLeast"/>
                <w:jc w:val="center"/>
              </w:trPr>
              <w:tc>
                <w:tcPr>
                  <w:tcW w:w="639" w:type="dxa"/>
                  <w:vAlign w:val="center"/>
                </w:tcPr>
                <w:p w14:paraId="1F5E5D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分类</w:t>
                  </w:r>
                </w:p>
              </w:tc>
              <w:tc>
                <w:tcPr>
                  <w:tcW w:w="705" w:type="dxa"/>
                  <w:vAlign w:val="center"/>
                </w:tcPr>
                <w:p w14:paraId="18DB5D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rPr>
                  </w:pPr>
                  <w:r>
                    <w:rPr>
                      <w:rFonts w:hint="default" w:ascii="Times New Roman" w:hAnsi="Times New Roman" w:eastAsia="宋体" w:cs="Times New Roman"/>
                      <w:color w:val="auto"/>
                      <w:spacing w:val="0"/>
                      <w:szCs w:val="21"/>
                      <w:highlight w:val="none"/>
                    </w:rPr>
                    <w:t>名称</w:t>
                  </w:r>
                </w:p>
              </w:tc>
              <w:tc>
                <w:tcPr>
                  <w:tcW w:w="570" w:type="dxa"/>
                  <w:vAlign w:val="center"/>
                </w:tcPr>
                <w:p w14:paraId="6A9439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eastAsia="zh-CN"/>
                    </w:rPr>
                  </w:pPr>
                  <w:r>
                    <w:rPr>
                      <w:rFonts w:hint="eastAsia" w:ascii="Times New Roman" w:hAnsi="Times New Roman" w:eastAsia="宋体" w:cs="Times New Roman"/>
                      <w:color w:val="auto"/>
                      <w:spacing w:val="0"/>
                      <w:szCs w:val="21"/>
                      <w:highlight w:val="none"/>
                      <w:lang w:val="en-US" w:eastAsia="zh-CN"/>
                    </w:rPr>
                    <w:t>主要成分</w:t>
                  </w:r>
                </w:p>
              </w:tc>
              <w:tc>
                <w:tcPr>
                  <w:tcW w:w="765" w:type="dxa"/>
                  <w:vAlign w:val="center"/>
                </w:tcPr>
                <w:p w14:paraId="25E4FD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类别</w:t>
                  </w:r>
                </w:p>
              </w:tc>
              <w:tc>
                <w:tcPr>
                  <w:tcW w:w="825" w:type="dxa"/>
                  <w:vAlign w:val="center"/>
                </w:tcPr>
                <w:p w14:paraId="7AF6A4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代码</w:t>
                  </w:r>
                </w:p>
              </w:tc>
              <w:tc>
                <w:tcPr>
                  <w:tcW w:w="938" w:type="dxa"/>
                  <w:vAlign w:val="center"/>
                </w:tcPr>
                <w:p w14:paraId="786249D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eastAsia="zh-CN"/>
                    </w:rPr>
                  </w:pPr>
                  <w:r>
                    <w:rPr>
                      <w:rFonts w:hint="default" w:ascii="Times New Roman" w:hAnsi="Times New Roman" w:eastAsia="宋体" w:cs="Times New Roman"/>
                      <w:color w:val="auto"/>
                      <w:spacing w:val="0"/>
                      <w:szCs w:val="21"/>
                      <w:highlight w:val="none"/>
                    </w:rPr>
                    <w:t>产生量</w:t>
                  </w:r>
                  <w:r>
                    <w:rPr>
                      <w:rFonts w:hint="default" w:ascii="Times New Roman" w:hAnsi="Times New Roman" w:eastAsia="宋体" w:cs="Times New Roman"/>
                      <w:color w:val="auto"/>
                      <w:spacing w:val="0"/>
                      <w:szCs w:val="21"/>
                      <w:highlight w:val="none"/>
                      <w:lang w:eastAsia="zh-CN"/>
                    </w:rPr>
                    <w:t>（</w:t>
                  </w:r>
                  <w:r>
                    <w:rPr>
                      <w:rFonts w:hint="default" w:ascii="Times New Roman" w:hAnsi="Times New Roman" w:eastAsia="宋体" w:cs="Times New Roman"/>
                      <w:color w:val="auto"/>
                      <w:spacing w:val="0"/>
                      <w:szCs w:val="21"/>
                      <w:highlight w:val="none"/>
                    </w:rPr>
                    <w:t>t/a</w:t>
                  </w:r>
                  <w:r>
                    <w:rPr>
                      <w:rFonts w:hint="default" w:ascii="Times New Roman" w:hAnsi="Times New Roman" w:eastAsia="宋体" w:cs="Times New Roman"/>
                      <w:color w:val="auto"/>
                      <w:spacing w:val="0"/>
                      <w:szCs w:val="21"/>
                      <w:highlight w:val="none"/>
                      <w:lang w:eastAsia="zh-CN"/>
                    </w:rPr>
                    <w:t>）</w:t>
                  </w:r>
                </w:p>
              </w:tc>
              <w:tc>
                <w:tcPr>
                  <w:tcW w:w="840" w:type="dxa"/>
                  <w:vAlign w:val="center"/>
                </w:tcPr>
                <w:p w14:paraId="666480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综合利用量（</w:t>
                  </w:r>
                  <w:r>
                    <w:rPr>
                      <w:rFonts w:hint="default" w:ascii="Times New Roman" w:hAnsi="Times New Roman" w:eastAsia="宋体" w:cs="Times New Roman"/>
                      <w:color w:val="auto"/>
                      <w:spacing w:val="0"/>
                      <w:szCs w:val="21"/>
                      <w:highlight w:val="none"/>
                    </w:rPr>
                    <w:t>t/a</w:t>
                  </w:r>
                  <w:r>
                    <w:rPr>
                      <w:rFonts w:hint="default" w:ascii="Times New Roman" w:hAnsi="Times New Roman" w:eastAsia="宋体" w:cs="Times New Roman"/>
                      <w:color w:val="auto"/>
                      <w:spacing w:val="0"/>
                      <w:szCs w:val="21"/>
                      <w:highlight w:val="none"/>
                      <w:lang w:val="en-US" w:eastAsia="zh-CN"/>
                    </w:rPr>
                    <w:t>）</w:t>
                  </w:r>
                </w:p>
              </w:tc>
              <w:tc>
                <w:tcPr>
                  <w:tcW w:w="645" w:type="dxa"/>
                  <w:vAlign w:val="center"/>
                </w:tcPr>
                <w:p w14:paraId="3903DA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处置量（</w:t>
                  </w:r>
                  <w:r>
                    <w:rPr>
                      <w:rFonts w:hint="default" w:ascii="Times New Roman" w:hAnsi="Times New Roman" w:eastAsia="宋体" w:cs="Times New Roman"/>
                      <w:color w:val="auto"/>
                      <w:spacing w:val="0"/>
                      <w:szCs w:val="21"/>
                      <w:highlight w:val="none"/>
                    </w:rPr>
                    <w:t>t/a</w:t>
                  </w:r>
                  <w:r>
                    <w:rPr>
                      <w:rFonts w:hint="default" w:ascii="Times New Roman" w:hAnsi="Times New Roman" w:eastAsia="宋体" w:cs="Times New Roman"/>
                      <w:color w:val="auto"/>
                      <w:spacing w:val="0"/>
                      <w:szCs w:val="21"/>
                      <w:highlight w:val="none"/>
                      <w:lang w:val="en-US" w:eastAsia="zh-CN"/>
                    </w:rPr>
                    <w:t>）</w:t>
                  </w:r>
                </w:p>
              </w:tc>
              <w:tc>
                <w:tcPr>
                  <w:tcW w:w="598" w:type="dxa"/>
                  <w:vAlign w:val="center"/>
                </w:tcPr>
                <w:p w14:paraId="1336DD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产废</w:t>
                  </w:r>
                </w:p>
                <w:p w14:paraId="2FF9FA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周期</w:t>
                  </w:r>
                </w:p>
              </w:tc>
              <w:tc>
                <w:tcPr>
                  <w:tcW w:w="1590" w:type="dxa"/>
                  <w:vAlign w:val="center"/>
                </w:tcPr>
                <w:p w14:paraId="775856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综合利用或</w:t>
                  </w:r>
                </w:p>
                <w:p w14:paraId="3443AD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处置方式</w:t>
                  </w:r>
                </w:p>
              </w:tc>
            </w:tr>
            <w:tr w14:paraId="2B94E3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29" w:hRule="atLeast"/>
                <w:jc w:val="center"/>
              </w:trPr>
              <w:tc>
                <w:tcPr>
                  <w:tcW w:w="639" w:type="dxa"/>
                  <w:vAlign w:val="center"/>
                </w:tcPr>
                <w:p w14:paraId="1AFE0EC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一般工业固体废物</w:t>
                  </w:r>
                </w:p>
              </w:tc>
              <w:tc>
                <w:tcPr>
                  <w:tcW w:w="705" w:type="dxa"/>
                  <w:vAlign w:val="center"/>
                </w:tcPr>
                <w:p w14:paraId="187791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废离子交换树脂</w:t>
                  </w:r>
                </w:p>
              </w:tc>
              <w:tc>
                <w:tcPr>
                  <w:tcW w:w="570" w:type="dxa"/>
                  <w:vAlign w:val="center"/>
                </w:tcPr>
                <w:p w14:paraId="2B7F1D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废离子交换树脂</w:t>
                  </w:r>
                </w:p>
              </w:tc>
              <w:tc>
                <w:tcPr>
                  <w:tcW w:w="765" w:type="dxa"/>
                  <w:vAlign w:val="center"/>
                </w:tcPr>
                <w:p w14:paraId="72500A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ascii="Times New Roman" w:hAnsi="Times New Roman" w:eastAsia="宋体" w:cs="Times New Roman"/>
                      <w:color w:val="auto"/>
                      <w:spacing w:val="0"/>
                      <w:szCs w:val="21"/>
                      <w:highlight w:val="none"/>
                      <w:lang w:val="en-US" w:eastAsia="zh-CN"/>
                    </w:rPr>
                    <w:t>SW</w:t>
                  </w:r>
                  <w:r>
                    <w:rPr>
                      <w:rFonts w:hint="eastAsia" w:cs="Times New Roman"/>
                      <w:color w:val="auto"/>
                      <w:spacing w:val="0"/>
                      <w:szCs w:val="21"/>
                      <w:highlight w:val="none"/>
                      <w:lang w:val="en-US" w:eastAsia="zh-CN"/>
                    </w:rPr>
                    <w:t>59</w:t>
                  </w:r>
                </w:p>
              </w:tc>
              <w:tc>
                <w:tcPr>
                  <w:tcW w:w="825" w:type="dxa"/>
                  <w:vAlign w:val="center"/>
                </w:tcPr>
                <w:p w14:paraId="0AF18E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s="Times New Roman"/>
                      <w:color w:val="auto"/>
                      <w:spacing w:val="0"/>
                      <w:szCs w:val="21"/>
                      <w:highlight w:val="none"/>
                      <w:lang w:val="en-US" w:eastAsia="zh-CN"/>
                    </w:rPr>
                  </w:pPr>
                  <w:r>
                    <w:rPr>
                      <w:rFonts w:hint="eastAsia" w:cs="Times New Roman"/>
                      <w:color w:val="auto"/>
                      <w:spacing w:val="0"/>
                      <w:szCs w:val="21"/>
                      <w:highlight w:val="none"/>
                      <w:lang w:val="en-US" w:eastAsia="zh-CN"/>
                    </w:rPr>
                    <w:t>900-008-S59</w:t>
                  </w:r>
                </w:p>
              </w:tc>
              <w:tc>
                <w:tcPr>
                  <w:tcW w:w="938" w:type="dxa"/>
                  <w:vAlign w:val="center"/>
                </w:tcPr>
                <w:p w14:paraId="3FD279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0.2</w:t>
                  </w:r>
                </w:p>
              </w:tc>
              <w:tc>
                <w:tcPr>
                  <w:tcW w:w="840" w:type="dxa"/>
                  <w:vAlign w:val="center"/>
                </w:tcPr>
                <w:p w14:paraId="421AC8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kern w:val="2"/>
                      <w:sz w:val="21"/>
                      <w:szCs w:val="21"/>
                      <w:highlight w:val="none"/>
                      <w:lang w:val="en-US" w:eastAsia="zh-CN" w:bidi="ar-SA"/>
                    </w:rPr>
                  </w:pPr>
                  <w:r>
                    <w:rPr>
                      <w:rFonts w:hint="eastAsia" w:cs="Times New Roman"/>
                      <w:color w:val="auto"/>
                      <w:spacing w:val="0"/>
                      <w:kern w:val="2"/>
                      <w:sz w:val="21"/>
                      <w:szCs w:val="21"/>
                      <w:highlight w:val="none"/>
                      <w:lang w:val="en-US" w:eastAsia="zh-CN" w:bidi="ar-SA"/>
                    </w:rPr>
                    <w:t>0</w:t>
                  </w:r>
                </w:p>
              </w:tc>
              <w:tc>
                <w:tcPr>
                  <w:tcW w:w="645" w:type="dxa"/>
                  <w:vAlign w:val="center"/>
                </w:tcPr>
                <w:p w14:paraId="37E3C7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szCs w:val="21"/>
                      <w:highlight w:val="none"/>
                      <w:lang w:val="en-US" w:eastAsia="zh-CN"/>
                    </w:rPr>
                    <w:t>0.2</w:t>
                  </w:r>
                </w:p>
              </w:tc>
              <w:tc>
                <w:tcPr>
                  <w:tcW w:w="598" w:type="dxa"/>
                  <w:vAlign w:val="center"/>
                </w:tcPr>
                <w:p w14:paraId="2FD1AF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eastAsia" w:cs="Times New Roman"/>
                      <w:color w:val="auto"/>
                      <w:spacing w:val="0"/>
                      <w:kern w:val="2"/>
                      <w:sz w:val="21"/>
                      <w:szCs w:val="21"/>
                      <w:highlight w:val="none"/>
                      <w:lang w:val="en-US" w:eastAsia="zh-CN" w:bidi="ar-SA"/>
                    </w:rPr>
                    <w:t>定期</w:t>
                  </w:r>
                </w:p>
              </w:tc>
              <w:tc>
                <w:tcPr>
                  <w:tcW w:w="1590" w:type="dxa"/>
                  <w:vAlign w:val="center"/>
                </w:tcPr>
                <w:p w14:paraId="2BB02F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0"/>
                      <w:szCs w:val="21"/>
                      <w:highlight w:val="none"/>
                      <w:lang w:val="en-US" w:eastAsia="zh-CN"/>
                    </w:rPr>
                  </w:pPr>
                  <w:r>
                    <w:rPr>
                      <w:rFonts w:hint="default" w:ascii="Times New Roman" w:hAnsi="Times New Roman" w:eastAsia="宋体" w:cs="Times New Roman"/>
                      <w:color w:val="auto"/>
                      <w:spacing w:val="0"/>
                      <w:szCs w:val="21"/>
                      <w:highlight w:val="none"/>
                      <w:lang w:val="en-US" w:eastAsia="zh-CN"/>
                    </w:rPr>
                    <w:t>由厂家定期更换后回收</w:t>
                  </w:r>
                </w:p>
              </w:tc>
            </w:tr>
          </w:tbl>
          <w:p w14:paraId="6A52D9B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Cs/>
                <w:color w:val="auto"/>
                <w:sz w:val="24"/>
                <w:highlight w:val="none"/>
              </w:rPr>
              <w:t>S1</w:t>
            </w:r>
            <w:r>
              <w:rPr>
                <w:rFonts w:hint="eastAsia" w:ascii="Times New Roman" w:hAnsi="Times New Roman" w:eastAsia="宋体" w:cs="Times New Roman"/>
                <w:bCs/>
                <w:color w:val="auto"/>
                <w:sz w:val="24"/>
                <w:highlight w:val="none"/>
                <w:lang w:val="en-US" w:eastAsia="zh-CN"/>
              </w:rPr>
              <w:t>.废离子交换树脂</w:t>
            </w:r>
          </w:p>
          <w:p w14:paraId="1CCC9F42">
            <w:pPr>
              <w:keepNext w:val="0"/>
              <w:keepLines w:val="0"/>
              <w:pageBreakBefore w:val="0"/>
              <w:widowControl w:val="0"/>
              <w:kinsoku/>
              <w:wordWrap/>
              <w:overflowPunct/>
              <w:topLinePunct w:val="0"/>
              <w:bidi w:val="0"/>
              <w:spacing w:line="480" w:lineRule="exact"/>
              <w:ind w:firstLine="480" w:firstLineChars="200"/>
              <w:textAlignment w:val="auto"/>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highlight w:val="none"/>
                <w:lang w:val="en-US" w:eastAsia="zh-CN"/>
              </w:rPr>
              <w:t>主要为软化水制备设备产生的废离子交换树脂，由厂家定期更换后回收。</w:t>
            </w:r>
          </w:p>
          <w:p w14:paraId="2CA82B45">
            <w:pPr>
              <w:adjustRightInd w:val="0"/>
              <w:snapToGrid w:val="0"/>
              <w:spacing w:line="480" w:lineRule="exact"/>
              <w:ind w:firstLine="480" w:firstLineChars="200"/>
              <w:rPr>
                <w:rFonts w:hint="eastAsia"/>
                <w:bCs/>
                <w:color w:val="auto"/>
                <w:sz w:val="24"/>
              </w:rPr>
            </w:pPr>
            <w:r>
              <w:rPr>
                <w:rFonts w:hint="default"/>
                <w:bCs/>
                <w:color w:val="auto"/>
                <w:sz w:val="24"/>
              </w:rPr>
              <w:t>本项目所产生的固体废物</w:t>
            </w:r>
            <w:r>
              <w:rPr>
                <w:rFonts w:hint="eastAsia"/>
                <w:bCs/>
                <w:color w:val="auto"/>
                <w:sz w:val="24"/>
                <w:lang w:val="en-US" w:eastAsia="zh-CN"/>
              </w:rPr>
              <w:t>能够</w:t>
            </w:r>
            <w:r>
              <w:rPr>
                <w:rFonts w:hint="default"/>
                <w:bCs/>
                <w:color w:val="auto"/>
                <w:sz w:val="24"/>
              </w:rPr>
              <w:t>得到合理处置，对周围环境影响较小。</w:t>
            </w:r>
          </w:p>
          <w:p w14:paraId="6F74ED48">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rPr>
            </w:pPr>
            <w:r>
              <w:rPr>
                <w:rFonts w:hint="eastAsia" w:ascii="Times New Roman" w:hAnsi="Times New Roman" w:eastAsia="宋体" w:cs="Times New Roman"/>
                <w:b/>
                <w:color w:val="auto"/>
                <w:sz w:val="24"/>
                <w:szCs w:val="24"/>
                <w:highlight w:val="none"/>
                <w:lang w:val="en-US" w:eastAsia="zh-CN"/>
              </w:rPr>
              <w:t>4.9 地下水</w:t>
            </w:r>
            <w:r>
              <w:rPr>
                <w:rFonts w:hint="eastAsia" w:ascii="Times New Roman" w:hAnsi="Times New Roman" w:eastAsia="宋体" w:cs="Times New Roman"/>
                <w:b/>
                <w:color w:val="auto"/>
                <w:sz w:val="24"/>
                <w:szCs w:val="24"/>
                <w:highlight w:val="none"/>
                <w:lang w:eastAsia="zh-CN"/>
              </w:rPr>
              <w:t>、</w:t>
            </w:r>
            <w:r>
              <w:rPr>
                <w:rFonts w:hint="default" w:ascii="Times New Roman" w:hAnsi="Times New Roman" w:eastAsia="宋体" w:cs="Times New Roman"/>
                <w:b/>
                <w:color w:val="auto"/>
                <w:sz w:val="24"/>
                <w:szCs w:val="24"/>
                <w:highlight w:val="none"/>
              </w:rPr>
              <w:t>土壤</w:t>
            </w:r>
          </w:p>
          <w:p w14:paraId="2C9D1C3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default" w:ascii="Times New Roman" w:hAnsi="Times New Roman" w:eastAsia="宋体" w:cs="Times New Roman"/>
                <w:bCs/>
                <w:color w:val="auto"/>
                <w:sz w:val="24"/>
                <w:highlight w:val="none"/>
              </w:rPr>
              <w:t>污染源</w:t>
            </w:r>
            <w:r>
              <w:rPr>
                <w:rFonts w:hint="default" w:ascii="Times New Roman" w:hAnsi="Times New Roman" w:eastAsia="宋体" w:cs="Times New Roman"/>
                <w:bCs/>
                <w:color w:val="auto"/>
                <w:sz w:val="24"/>
                <w:highlight w:val="none"/>
                <w:lang w:val="en-US" w:eastAsia="zh-CN"/>
              </w:rPr>
              <w:t>和污染途径</w:t>
            </w:r>
          </w:p>
          <w:p w14:paraId="654103B4">
            <w:pPr>
              <w:pStyle w:val="48"/>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default" w:ascii="Times New Roman" w:hAnsi="Times New Roman" w:eastAsia="宋体" w:cs="Times New Roman"/>
                <w:b w:val="0"/>
                <w:color w:val="auto"/>
                <w:sz w:val="24"/>
                <w:szCs w:val="24"/>
                <w:highlight w:val="none"/>
                <w:lang w:val="en-US" w:eastAsia="zh-CN"/>
              </w:rPr>
            </w:pPr>
            <w:r>
              <w:rPr>
                <w:rFonts w:hint="eastAsia" w:ascii="Times New Roman" w:hAnsi="Times New Roman" w:cs="Times New Roman"/>
                <w:b w:val="0"/>
                <w:color w:val="auto"/>
                <w:sz w:val="24"/>
                <w:szCs w:val="24"/>
                <w:highlight w:val="none"/>
                <w:lang w:val="en-US" w:eastAsia="zh-CN"/>
              </w:rPr>
              <w:t>根据项目特点和厂区的实际情况，按照“源头控制、分区防治、污染监控”的原则，本项目将从污染物的产生、入渗、扩散采取全方位的控制措施</w:t>
            </w:r>
            <w:r>
              <w:rPr>
                <w:rFonts w:hint="default" w:ascii="Times New Roman" w:hAnsi="Times New Roman" w:cs="Times New Roman"/>
                <w:b w:val="0"/>
                <w:color w:val="auto"/>
                <w:sz w:val="24"/>
                <w:szCs w:val="24"/>
                <w:highlight w:val="none"/>
              </w:rPr>
              <w:t>。</w:t>
            </w:r>
          </w:p>
          <w:p w14:paraId="1CF0F0F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2.防控措施</w:t>
            </w:r>
          </w:p>
          <w:p w14:paraId="184D5301">
            <w:pPr>
              <w:keepNext w:val="0"/>
              <w:keepLines w:val="0"/>
              <w:pageBreakBefore w:val="0"/>
              <w:widowControl w:val="0"/>
              <w:kinsoku/>
              <w:wordWrap/>
              <w:overflowPunct/>
              <w:topLinePunct w:val="0"/>
              <w:bidi w:val="0"/>
              <w:adjustRightInd w:val="0"/>
              <w:snapToGrid w:val="0"/>
              <w:spacing w:line="480" w:lineRule="exact"/>
              <w:ind w:firstLine="480" w:firstLineChars="200"/>
              <w:textAlignment w:val="auto"/>
              <w:rPr>
                <w:rFonts w:hint="default" w:ascii="Times New Roman" w:hAnsi="Times New Roman" w:eastAsia="宋体" w:cs="Times New Roman"/>
                <w:bCs/>
                <w:color w:val="auto"/>
                <w:sz w:val="24"/>
                <w:highlight w:val="none"/>
                <w:lang w:val="en-US" w:eastAsia="zh-CN"/>
              </w:rPr>
            </w:pPr>
            <w:r>
              <w:rPr>
                <w:rFonts w:hint="default" w:ascii="Times New Roman" w:hAnsi="Times New Roman" w:eastAsia="宋体" w:cs="Times New Roman"/>
                <w:bCs/>
                <w:color w:val="auto"/>
                <w:sz w:val="24"/>
                <w:highlight w:val="none"/>
                <w:lang w:val="en-US" w:eastAsia="zh-CN"/>
              </w:rPr>
              <w:t>（1）源头控制</w:t>
            </w:r>
          </w:p>
          <w:p w14:paraId="607B809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本项目占地全部进行水泥硬化处理。</w:t>
            </w:r>
          </w:p>
          <w:p w14:paraId="04C3AED4">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（2）分区防治</w:t>
            </w:r>
          </w:p>
          <w:p w14:paraId="33C58E8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根据《环境影响评价技术导则-地下水环境》（HJ610-2016），结合项目总平面布置情况，本项目</w:t>
            </w:r>
            <w:r>
              <w:rPr>
                <w:rFonts w:hint="eastAsia" w:cs="Times New Roman"/>
                <w:color w:val="auto"/>
                <w:sz w:val="24"/>
                <w:highlight w:val="none"/>
                <w:lang w:val="en-US" w:eastAsia="zh-CN"/>
              </w:rPr>
              <w:t>为简单防渗区</w:t>
            </w:r>
            <w:r>
              <w:rPr>
                <w:rFonts w:hint="eastAsia" w:ascii="Times New Roman" w:hAnsi="Times New Roman" w:eastAsia="宋体" w:cs="Times New Roman"/>
                <w:color w:val="auto"/>
                <w:sz w:val="24"/>
                <w:highlight w:val="none"/>
                <w:lang w:val="en-US" w:eastAsia="zh-CN"/>
              </w:rPr>
              <w:t>。</w:t>
            </w:r>
          </w:p>
          <w:p w14:paraId="127C9BB0">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（3）污染监控</w:t>
            </w:r>
          </w:p>
          <w:p w14:paraId="08900C3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textAlignment w:val="auto"/>
              <w:rPr>
                <w:rFonts w:hint="default" w:cs="Times New Roman"/>
                <w:color w:val="auto"/>
                <w:sz w:val="24"/>
                <w:highlight w:val="none"/>
                <w:lang w:val="en-US" w:eastAsia="zh-CN"/>
              </w:rPr>
            </w:pPr>
            <w:r>
              <w:rPr>
                <w:rFonts w:hint="eastAsia" w:cs="Times New Roman"/>
                <w:color w:val="auto"/>
                <w:sz w:val="24"/>
                <w:highlight w:val="none"/>
                <w:lang w:val="en-US" w:eastAsia="zh-CN"/>
              </w:rPr>
              <w:t>本矿已有环境质量监测计划，定期对地下水、土壤进行监测，本次不另做监测计划。</w:t>
            </w:r>
          </w:p>
          <w:p w14:paraId="6F199A2C">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w:t>
            </w:r>
            <w:r>
              <w:rPr>
                <w:rFonts w:hint="eastAsia" w:eastAsia="黑体" w:cs="Times New Roman"/>
                <w:b w:val="0"/>
                <w:bCs w:val="0"/>
                <w:color w:val="auto"/>
                <w:kern w:val="2"/>
                <w:sz w:val="21"/>
                <w:szCs w:val="21"/>
                <w:highlight w:val="none"/>
                <w:lang w:val="en-US" w:eastAsia="zh-CN" w:bidi="ar-SA"/>
              </w:rPr>
              <w:t>4.9-1</w:t>
            </w:r>
            <w:r>
              <w:rPr>
                <w:rFonts w:hint="default" w:ascii="Times New Roman" w:hAnsi="Times New Roman" w:eastAsia="黑体" w:cs="Times New Roman"/>
                <w:b w:val="0"/>
                <w:bCs w:val="0"/>
                <w:color w:val="auto"/>
                <w:kern w:val="2"/>
                <w:sz w:val="21"/>
                <w:szCs w:val="21"/>
                <w:highlight w:val="none"/>
                <w:lang w:val="en-US" w:eastAsia="zh-CN" w:bidi="ar-SA"/>
              </w:rPr>
              <w:t xml:space="preserve">  防渗分区</w:t>
            </w:r>
            <w:r>
              <w:rPr>
                <w:rFonts w:hint="eastAsia" w:ascii="Times New Roman" w:hAnsi="Times New Roman" w:eastAsia="黑体" w:cs="Times New Roman"/>
                <w:b w:val="0"/>
                <w:bCs w:val="0"/>
                <w:color w:val="auto"/>
                <w:kern w:val="2"/>
                <w:sz w:val="21"/>
                <w:szCs w:val="21"/>
                <w:highlight w:val="none"/>
                <w:lang w:val="en-US" w:eastAsia="zh-CN" w:bidi="ar-SA"/>
              </w:rPr>
              <w:t>及防渗要求</w:t>
            </w:r>
            <w:r>
              <w:rPr>
                <w:rFonts w:hint="default" w:ascii="Times New Roman" w:hAnsi="Times New Roman" w:eastAsia="黑体" w:cs="Times New Roman"/>
                <w:b w:val="0"/>
                <w:bCs w:val="0"/>
                <w:color w:val="auto"/>
                <w:kern w:val="2"/>
                <w:sz w:val="21"/>
                <w:szCs w:val="21"/>
                <w:highlight w:val="none"/>
                <w:lang w:val="en-US" w:eastAsia="zh-CN" w:bidi="ar-SA"/>
              </w:rPr>
              <w:t>情况表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1423"/>
              <w:gridCol w:w="2100"/>
              <w:gridCol w:w="1833"/>
              <w:gridCol w:w="1085"/>
            </w:tblGrid>
            <w:tr w14:paraId="3264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70" w:type="pct"/>
                  <w:tcBorders>
                    <w:tl2br w:val="nil"/>
                    <w:tr2bl w:val="nil"/>
                  </w:tcBorders>
                  <w:vAlign w:val="center"/>
                </w:tcPr>
                <w:p w14:paraId="60C6E52E">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default" w:ascii="Times New Roman" w:hAnsi="Times New Roman" w:eastAsia="宋体" w:cs="Times New Roman"/>
                      <w:color w:val="auto"/>
                      <w:szCs w:val="22"/>
                      <w:highlight w:val="none"/>
                      <w:lang w:val="en-US" w:eastAsia="zh-CN"/>
                    </w:rPr>
                    <w:t>防渗分区</w:t>
                  </w:r>
                </w:p>
              </w:tc>
              <w:tc>
                <w:tcPr>
                  <w:tcW w:w="890" w:type="pct"/>
                  <w:tcBorders>
                    <w:tl2br w:val="nil"/>
                    <w:tr2bl w:val="nil"/>
                  </w:tcBorders>
                  <w:vAlign w:val="center"/>
                </w:tcPr>
                <w:p w14:paraId="5C5F0B40">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ascii="Times New Roman" w:hAnsi="Times New Roman" w:eastAsia="宋体" w:cs="Times New Roman"/>
                      <w:color w:val="auto"/>
                      <w:szCs w:val="22"/>
                      <w:highlight w:val="none"/>
                      <w:lang w:val="en-US" w:eastAsia="zh-CN"/>
                    </w:rPr>
                    <w:t>防渗区域</w:t>
                  </w:r>
                </w:p>
              </w:tc>
              <w:tc>
                <w:tcPr>
                  <w:tcW w:w="1313" w:type="pct"/>
                  <w:tcBorders>
                    <w:tl2br w:val="nil"/>
                    <w:tr2bl w:val="nil"/>
                  </w:tcBorders>
                  <w:vAlign w:val="center"/>
                </w:tcPr>
                <w:p w14:paraId="1F5B5A04">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default" w:ascii="Times New Roman" w:hAnsi="Times New Roman" w:eastAsia="宋体" w:cs="Times New Roman"/>
                      <w:color w:val="auto"/>
                      <w:szCs w:val="22"/>
                      <w:highlight w:val="none"/>
                      <w:lang w:val="en-US" w:eastAsia="zh-CN"/>
                    </w:rPr>
                    <w:t>防渗要求</w:t>
                  </w:r>
                </w:p>
              </w:tc>
              <w:tc>
                <w:tcPr>
                  <w:tcW w:w="1146" w:type="pct"/>
                  <w:tcBorders>
                    <w:tl2br w:val="nil"/>
                    <w:tr2bl w:val="nil"/>
                  </w:tcBorders>
                  <w:vAlign w:val="center"/>
                </w:tcPr>
                <w:p w14:paraId="67BCB40C">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yellow"/>
                      <w:lang w:val="en-US" w:eastAsia="zh-CN"/>
                    </w:rPr>
                  </w:pPr>
                  <w:r>
                    <w:rPr>
                      <w:rFonts w:hint="eastAsia" w:cs="Times New Roman"/>
                      <w:color w:val="auto"/>
                      <w:szCs w:val="22"/>
                      <w:highlight w:val="none"/>
                      <w:lang w:val="en-US" w:eastAsia="zh-CN"/>
                    </w:rPr>
                    <w:t>现有防渗效果</w:t>
                  </w:r>
                </w:p>
              </w:tc>
              <w:tc>
                <w:tcPr>
                  <w:tcW w:w="678" w:type="pct"/>
                  <w:tcBorders>
                    <w:tl2br w:val="nil"/>
                    <w:tr2bl w:val="nil"/>
                  </w:tcBorders>
                  <w:vAlign w:val="center"/>
                </w:tcPr>
                <w:p w14:paraId="481C3833">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是否满足要求</w:t>
                  </w:r>
                </w:p>
              </w:tc>
            </w:tr>
            <w:tr w14:paraId="2D88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70" w:type="pct"/>
                  <w:tcBorders>
                    <w:tl2br w:val="nil"/>
                    <w:tr2bl w:val="nil"/>
                  </w:tcBorders>
                  <w:vAlign w:val="center"/>
                </w:tcPr>
                <w:p w14:paraId="6B31C86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简单防渗区</w:t>
                  </w:r>
                </w:p>
              </w:tc>
              <w:tc>
                <w:tcPr>
                  <w:tcW w:w="890" w:type="pct"/>
                  <w:tcBorders>
                    <w:tl2br w:val="nil"/>
                    <w:tr2bl w:val="nil"/>
                  </w:tcBorders>
                  <w:vAlign w:val="center"/>
                </w:tcPr>
                <w:p w14:paraId="7DEA479B">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锅炉房</w:t>
                  </w:r>
                </w:p>
              </w:tc>
              <w:tc>
                <w:tcPr>
                  <w:tcW w:w="1313" w:type="pct"/>
                  <w:tcBorders>
                    <w:tl2br w:val="nil"/>
                    <w:tr2bl w:val="nil"/>
                  </w:tcBorders>
                  <w:vAlign w:val="center"/>
                </w:tcPr>
                <w:p w14:paraId="459AF658">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pacing w:val="0"/>
                      <w:szCs w:val="22"/>
                      <w:highlight w:val="none"/>
                      <w:lang w:val="en-US" w:eastAsia="zh-CN"/>
                    </w:rPr>
                  </w:pPr>
                  <w:r>
                    <w:rPr>
                      <w:rFonts w:hint="eastAsia" w:cs="Times New Roman"/>
                      <w:color w:val="auto"/>
                      <w:spacing w:val="0"/>
                      <w:szCs w:val="22"/>
                      <w:highlight w:val="none"/>
                      <w:lang w:val="en-US" w:eastAsia="zh-CN"/>
                    </w:rPr>
                    <w:t>一般地面硬化</w:t>
                  </w:r>
                </w:p>
              </w:tc>
              <w:tc>
                <w:tcPr>
                  <w:tcW w:w="1146" w:type="pct"/>
                  <w:tcBorders>
                    <w:tl2br w:val="nil"/>
                    <w:tr2bl w:val="nil"/>
                  </w:tcBorders>
                  <w:vAlign w:val="center"/>
                </w:tcPr>
                <w:p w14:paraId="651D16A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pacing w:val="0"/>
                      <w:szCs w:val="22"/>
                      <w:highlight w:val="none"/>
                      <w:lang w:val="en-US" w:eastAsia="zh-CN"/>
                    </w:rPr>
                  </w:pPr>
                  <w:r>
                    <w:rPr>
                      <w:rFonts w:hint="eastAsia" w:cs="Times New Roman"/>
                      <w:color w:val="auto"/>
                      <w:spacing w:val="0"/>
                      <w:szCs w:val="22"/>
                      <w:highlight w:val="none"/>
                      <w:lang w:val="en-US" w:eastAsia="zh-CN"/>
                    </w:rPr>
                    <w:t>水泥硬化</w:t>
                  </w:r>
                </w:p>
              </w:tc>
              <w:tc>
                <w:tcPr>
                  <w:tcW w:w="678" w:type="pct"/>
                  <w:tcBorders>
                    <w:tl2br w:val="nil"/>
                    <w:tr2bl w:val="nil"/>
                  </w:tcBorders>
                  <w:vAlign w:val="center"/>
                </w:tcPr>
                <w:p w14:paraId="2E6386A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pacing w:val="0"/>
                      <w:szCs w:val="22"/>
                      <w:highlight w:val="none"/>
                      <w:lang w:val="en-US" w:eastAsia="zh-CN"/>
                    </w:rPr>
                  </w:pPr>
                  <w:r>
                    <w:rPr>
                      <w:rFonts w:hint="eastAsia" w:cs="Times New Roman"/>
                      <w:color w:val="auto"/>
                      <w:spacing w:val="0"/>
                      <w:szCs w:val="22"/>
                      <w:highlight w:val="none"/>
                      <w:lang w:val="en-US" w:eastAsia="zh-CN"/>
                    </w:rPr>
                    <w:t>满足</w:t>
                  </w:r>
                </w:p>
              </w:tc>
            </w:tr>
          </w:tbl>
          <w:p w14:paraId="48A329C7">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 xml:space="preserve">4.10 </w:t>
            </w:r>
            <w:r>
              <w:rPr>
                <w:rFonts w:hint="default" w:ascii="Times New Roman" w:hAnsi="Times New Roman" w:eastAsia="宋体" w:cs="Times New Roman"/>
                <w:b/>
                <w:color w:val="auto"/>
                <w:sz w:val="24"/>
                <w:szCs w:val="24"/>
                <w:highlight w:val="none"/>
              </w:rPr>
              <w:t>环境风险</w:t>
            </w:r>
            <w:r>
              <w:rPr>
                <w:rFonts w:hint="default" w:ascii="Times New Roman" w:hAnsi="Times New Roman" w:eastAsia="宋体" w:cs="Times New Roman"/>
                <w:b/>
                <w:color w:val="auto"/>
                <w:sz w:val="24"/>
                <w:szCs w:val="24"/>
                <w:highlight w:val="none"/>
                <w:lang w:val="en-US" w:eastAsia="zh-CN"/>
              </w:rPr>
              <w:t>评价</w:t>
            </w:r>
          </w:p>
          <w:p w14:paraId="76726B31">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风险评价等级判定</w:t>
            </w:r>
          </w:p>
          <w:p w14:paraId="3C1726B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eastAsia="zh-CN"/>
              </w:rPr>
              <w:t>）风险调查</w:t>
            </w:r>
          </w:p>
          <w:p w14:paraId="546C584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根据工程分析，结合《建设项目环境风险评价技术导则》（HJ169-2018）中附录B可知，本项目涉及的危险物质主要为</w:t>
            </w:r>
            <w:r>
              <w:rPr>
                <w:rFonts w:hint="eastAsia" w:cs="Times New Roman"/>
                <w:color w:val="auto"/>
                <w:sz w:val="24"/>
                <w:szCs w:val="24"/>
                <w:highlight w:val="none"/>
                <w:lang w:val="en-US" w:eastAsia="zh-CN"/>
              </w:rPr>
              <w:t>天然气</w:t>
            </w:r>
            <w:r>
              <w:rPr>
                <w:rFonts w:hint="default" w:ascii="Times New Roman" w:hAnsi="Times New Roman" w:eastAsia="宋体" w:cs="Times New Roman"/>
                <w:color w:val="auto"/>
                <w:sz w:val="24"/>
                <w:szCs w:val="24"/>
                <w:highlight w:val="none"/>
              </w:rPr>
              <w:t>。</w:t>
            </w:r>
          </w:p>
          <w:p w14:paraId="002BCFA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环境风险潜势初判</w:t>
            </w:r>
          </w:p>
          <w:p w14:paraId="50CDB05C">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rPr>
            </w:pPr>
            <w:r>
              <w:rPr>
                <w:rFonts w:hint="default" w:ascii="Times New Roman" w:hAnsi="Times New Roman" w:eastAsia="宋体" w:cs="Times New Roman"/>
                <w:color w:val="auto"/>
                <w:sz w:val="24"/>
                <w:szCs w:val="24"/>
                <w:highlight w:val="none"/>
                <w:lang w:val="en-US" w:eastAsia="zh-CN"/>
              </w:rPr>
              <w:t>根据《建设项目环境风险评价技术导则》（HJ 169-2018）附录B、附录C的有关规定，当</w:t>
            </w:r>
            <w:r>
              <w:rPr>
                <w:rFonts w:hint="eastAsia" w:ascii="Times New Roman" w:hAnsi="Times New Roman" w:eastAsia="宋体" w:cs="Times New Roman"/>
                <w:color w:val="auto"/>
                <w:sz w:val="24"/>
                <w:szCs w:val="24"/>
                <w:highlight w:val="none"/>
                <w:lang w:val="en-US" w:eastAsia="zh-CN"/>
              </w:rPr>
              <w:t>只涉及一种</w:t>
            </w:r>
            <w:r>
              <w:rPr>
                <w:rFonts w:hint="default" w:ascii="Times New Roman" w:hAnsi="Times New Roman" w:eastAsia="宋体" w:cs="Times New Roman"/>
                <w:color w:val="auto"/>
                <w:sz w:val="24"/>
                <w:szCs w:val="24"/>
                <w:highlight w:val="none"/>
                <w:lang w:val="en-US" w:eastAsia="zh-CN"/>
              </w:rPr>
              <w:t>危险物质时，计算</w:t>
            </w:r>
            <w:r>
              <w:rPr>
                <w:rFonts w:hint="eastAsia" w:ascii="Times New Roman" w:hAnsi="Times New Roman" w:eastAsia="宋体" w:cs="Times New Roman"/>
                <w:color w:val="auto"/>
                <w:sz w:val="24"/>
                <w:szCs w:val="24"/>
                <w:highlight w:val="none"/>
                <w:lang w:val="en-US" w:eastAsia="zh-CN"/>
              </w:rPr>
              <w:t>该</w:t>
            </w:r>
            <w:r>
              <w:rPr>
                <w:rFonts w:hint="default" w:ascii="Times New Roman" w:hAnsi="Times New Roman" w:eastAsia="宋体" w:cs="Times New Roman"/>
                <w:color w:val="auto"/>
                <w:sz w:val="24"/>
                <w:szCs w:val="24"/>
                <w:highlight w:val="none"/>
                <w:lang w:val="en-US" w:eastAsia="zh-CN"/>
              </w:rPr>
              <w:t>物质</w:t>
            </w:r>
            <w:r>
              <w:rPr>
                <w:rFonts w:hint="eastAsia" w:ascii="Times New Roman" w:hAnsi="Times New Roman" w:eastAsia="宋体" w:cs="Times New Roman"/>
                <w:color w:val="auto"/>
                <w:sz w:val="24"/>
                <w:szCs w:val="24"/>
                <w:highlight w:val="none"/>
                <w:lang w:val="en-US" w:eastAsia="zh-CN"/>
              </w:rPr>
              <w:t>的</w:t>
            </w:r>
            <w:r>
              <w:rPr>
                <w:rFonts w:hint="default" w:ascii="Times New Roman" w:hAnsi="Times New Roman" w:eastAsia="宋体" w:cs="Times New Roman"/>
                <w:color w:val="auto"/>
                <w:sz w:val="24"/>
                <w:szCs w:val="24"/>
                <w:highlight w:val="none"/>
                <w:lang w:val="en-US" w:eastAsia="zh-CN"/>
              </w:rPr>
              <w:t>总量与其临界量比值</w:t>
            </w:r>
            <w:r>
              <w:rPr>
                <w:rFonts w:hint="eastAsia" w:ascii="Times New Roman" w:hAnsi="Times New Roman" w:eastAsia="宋体" w:cs="Times New Roman"/>
                <w:color w:val="auto"/>
                <w:sz w:val="24"/>
                <w:szCs w:val="24"/>
                <w:highlight w:val="none"/>
                <w:lang w:val="en-US" w:eastAsia="zh-CN"/>
              </w:rPr>
              <w:t>，即为Q。</w:t>
            </w:r>
          </w:p>
          <w:p w14:paraId="7874F53A">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cs="Times New Roman"/>
                <w:color w:val="auto"/>
                <w:sz w:val="24"/>
                <w:szCs w:val="24"/>
                <w:highlight w:val="none"/>
                <w:vertAlign w:val="baseline"/>
                <w:lang w:val="en-US" w:eastAsia="zh-CN"/>
              </w:rPr>
            </w:pPr>
            <w:r>
              <w:rPr>
                <w:rFonts w:hint="eastAsia" w:cs="Times New Roman"/>
                <w:color w:val="auto"/>
                <w:sz w:val="24"/>
                <w:szCs w:val="24"/>
                <w:highlight w:val="none"/>
                <w:lang w:val="en-US" w:eastAsia="zh-CN"/>
              </w:rPr>
              <w:t>根据现场调查，本项目燃气为管道输送，矿区混输站至锅炉房燃气管道长度为280米，直径7cm，项目使用燃气密度为0.6958kg/m</w:t>
            </w:r>
            <w:r>
              <w:rPr>
                <w:rFonts w:hint="eastAsia" w:cs="Times New Roman"/>
                <w:color w:val="auto"/>
                <w:sz w:val="24"/>
                <w:szCs w:val="24"/>
                <w:highlight w:val="none"/>
                <w:vertAlign w:val="superscript"/>
                <w:lang w:val="en-US" w:eastAsia="zh-CN"/>
              </w:rPr>
              <w:t>3</w:t>
            </w:r>
            <w:r>
              <w:rPr>
                <w:rFonts w:hint="eastAsia" w:cs="Times New Roman"/>
                <w:color w:val="auto"/>
                <w:sz w:val="24"/>
                <w:szCs w:val="24"/>
                <w:highlight w:val="none"/>
                <w:vertAlign w:val="baseline"/>
                <w:lang w:val="en-US" w:eastAsia="zh-CN"/>
              </w:rPr>
              <w:t>。</w:t>
            </w:r>
          </w:p>
          <w:p w14:paraId="0BC720B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cs="Times New Roman"/>
                <w:color w:val="auto"/>
                <w:sz w:val="24"/>
                <w:szCs w:val="24"/>
                <w:highlight w:val="none"/>
                <w:vertAlign w:val="baseline"/>
                <w:lang w:val="en-US" w:eastAsia="zh-CN"/>
              </w:rPr>
            </w:pPr>
            <w:r>
              <w:rPr>
                <w:rFonts w:hint="eastAsia" w:cs="Times New Roman"/>
                <w:color w:val="auto"/>
                <w:sz w:val="24"/>
                <w:szCs w:val="24"/>
                <w:highlight w:val="none"/>
                <w:vertAlign w:val="baseline"/>
                <w:lang w:val="en-US" w:eastAsia="zh-CN"/>
              </w:rPr>
              <w:t>根据《建设项目环境风险评价技术导则》（HJ169-2018），计算危险物质数量与临界量比值Q值。</w:t>
            </w:r>
          </w:p>
          <w:p w14:paraId="5C695E68">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w:t>
            </w:r>
            <w:r>
              <w:rPr>
                <w:rFonts w:hint="eastAsia" w:eastAsia="黑体" w:cs="Times New Roman"/>
                <w:b w:val="0"/>
                <w:bCs w:val="0"/>
                <w:color w:val="auto"/>
                <w:kern w:val="2"/>
                <w:sz w:val="21"/>
                <w:szCs w:val="21"/>
                <w:highlight w:val="none"/>
                <w:lang w:val="en-US" w:eastAsia="zh-CN" w:bidi="ar-SA"/>
              </w:rPr>
              <w:t>4.10-1</w:t>
            </w:r>
            <w:r>
              <w:rPr>
                <w:rFonts w:hint="default" w:ascii="Times New Roman" w:hAnsi="Times New Roman" w:eastAsia="黑体" w:cs="Times New Roman"/>
                <w:b w:val="0"/>
                <w:bCs w:val="0"/>
                <w:color w:val="auto"/>
                <w:kern w:val="2"/>
                <w:sz w:val="21"/>
                <w:szCs w:val="21"/>
                <w:highlight w:val="none"/>
                <w:lang w:val="en-US" w:eastAsia="zh-CN" w:bidi="ar-SA"/>
              </w:rPr>
              <w:t xml:space="preserve">  防渗分区</w:t>
            </w:r>
            <w:r>
              <w:rPr>
                <w:rFonts w:hint="eastAsia" w:ascii="Times New Roman" w:hAnsi="Times New Roman" w:eastAsia="黑体" w:cs="Times New Roman"/>
                <w:b w:val="0"/>
                <w:bCs w:val="0"/>
                <w:color w:val="auto"/>
                <w:kern w:val="2"/>
                <w:sz w:val="21"/>
                <w:szCs w:val="21"/>
                <w:highlight w:val="none"/>
                <w:lang w:val="en-US" w:eastAsia="zh-CN" w:bidi="ar-SA"/>
              </w:rPr>
              <w:t>及防渗要求</w:t>
            </w:r>
            <w:r>
              <w:rPr>
                <w:rFonts w:hint="default" w:ascii="Times New Roman" w:hAnsi="Times New Roman" w:eastAsia="黑体" w:cs="Times New Roman"/>
                <w:b w:val="0"/>
                <w:bCs w:val="0"/>
                <w:color w:val="auto"/>
                <w:kern w:val="2"/>
                <w:sz w:val="21"/>
                <w:szCs w:val="21"/>
                <w:highlight w:val="none"/>
                <w:lang w:val="en-US" w:eastAsia="zh-CN" w:bidi="ar-SA"/>
              </w:rPr>
              <w:t>情况表</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1650"/>
              <w:gridCol w:w="1035"/>
              <w:gridCol w:w="1005"/>
              <w:gridCol w:w="1305"/>
              <w:gridCol w:w="1230"/>
              <w:gridCol w:w="1085"/>
            </w:tblGrid>
            <w:tr w14:paraId="620DB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26" w:type="pct"/>
                  <w:tcBorders>
                    <w:tl2br w:val="nil"/>
                    <w:tr2bl w:val="nil"/>
                  </w:tcBorders>
                  <w:vAlign w:val="center"/>
                </w:tcPr>
                <w:p w14:paraId="3F43C10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序号</w:t>
                  </w:r>
                </w:p>
              </w:tc>
              <w:tc>
                <w:tcPr>
                  <w:tcW w:w="1032" w:type="pct"/>
                  <w:tcBorders>
                    <w:tl2br w:val="nil"/>
                    <w:tr2bl w:val="nil"/>
                  </w:tcBorders>
                  <w:vAlign w:val="center"/>
                </w:tcPr>
                <w:p w14:paraId="2895E82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危险物质名称</w:t>
                  </w:r>
                </w:p>
              </w:tc>
              <w:tc>
                <w:tcPr>
                  <w:tcW w:w="647" w:type="pct"/>
                  <w:tcBorders>
                    <w:tl2br w:val="nil"/>
                    <w:tr2bl w:val="nil"/>
                  </w:tcBorders>
                  <w:vAlign w:val="center"/>
                </w:tcPr>
                <w:p w14:paraId="1C3AEE3F">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CAS号</w:t>
                  </w:r>
                </w:p>
              </w:tc>
              <w:tc>
                <w:tcPr>
                  <w:tcW w:w="628" w:type="pct"/>
                  <w:tcBorders>
                    <w:tl2br w:val="nil"/>
                    <w:tr2bl w:val="nil"/>
                  </w:tcBorders>
                  <w:vAlign w:val="center"/>
                </w:tcPr>
                <w:p w14:paraId="2512A43B">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临界量t</w:t>
                  </w:r>
                </w:p>
              </w:tc>
              <w:tc>
                <w:tcPr>
                  <w:tcW w:w="816" w:type="pct"/>
                  <w:tcBorders>
                    <w:tl2br w:val="nil"/>
                    <w:tr2bl w:val="nil"/>
                  </w:tcBorders>
                  <w:vAlign w:val="center"/>
                </w:tcPr>
                <w:p w14:paraId="05F8710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最大储量t</w:t>
                  </w:r>
                </w:p>
              </w:tc>
              <w:tc>
                <w:tcPr>
                  <w:tcW w:w="769" w:type="pct"/>
                  <w:tcBorders>
                    <w:tl2br w:val="nil"/>
                    <w:tr2bl w:val="nil"/>
                  </w:tcBorders>
                  <w:vAlign w:val="center"/>
                </w:tcPr>
                <w:p w14:paraId="574C2ED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Q值</w:t>
                  </w:r>
                </w:p>
              </w:tc>
              <w:tc>
                <w:tcPr>
                  <w:tcW w:w="678" w:type="pct"/>
                  <w:tcBorders>
                    <w:tl2br w:val="nil"/>
                    <w:tr2bl w:val="nil"/>
                  </w:tcBorders>
                  <w:vAlign w:val="center"/>
                </w:tcPr>
                <w:p w14:paraId="321AB68E">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储存位置</w:t>
                  </w:r>
                </w:p>
              </w:tc>
            </w:tr>
            <w:tr w14:paraId="4639E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426" w:type="pct"/>
                  <w:tcBorders>
                    <w:tl2br w:val="nil"/>
                    <w:tr2bl w:val="nil"/>
                  </w:tcBorders>
                  <w:vAlign w:val="center"/>
                </w:tcPr>
                <w:p w14:paraId="0A9F08BA">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2"/>
                      <w:highlight w:val="none"/>
                      <w:lang w:val="en-US" w:eastAsia="zh-CN"/>
                    </w:rPr>
                  </w:pPr>
                  <w:r>
                    <w:rPr>
                      <w:rFonts w:hint="eastAsia" w:cs="Times New Roman"/>
                      <w:color w:val="auto"/>
                      <w:szCs w:val="22"/>
                      <w:highlight w:val="none"/>
                      <w:lang w:val="en-US" w:eastAsia="zh-CN"/>
                    </w:rPr>
                    <w:t>1</w:t>
                  </w:r>
                </w:p>
              </w:tc>
              <w:tc>
                <w:tcPr>
                  <w:tcW w:w="1032" w:type="pct"/>
                  <w:tcBorders>
                    <w:tl2br w:val="nil"/>
                    <w:tr2bl w:val="nil"/>
                  </w:tcBorders>
                  <w:vAlign w:val="center"/>
                </w:tcPr>
                <w:p w14:paraId="1EA4702C">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天然气（甲烷）</w:t>
                  </w:r>
                </w:p>
              </w:tc>
              <w:tc>
                <w:tcPr>
                  <w:tcW w:w="647" w:type="pct"/>
                  <w:tcBorders>
                    <w:tl2br w:val="nil"/>
                    <w:tr2bl w:val="nil"/>
                  </w:tcBorders>
                  <w:vAlign w:val="center"/>
                </w:tcPr>
                <w:p w14:paraId="6BD8C2A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pacing w:val="0"/>
                      <w:szCs w:val="22"/>
                      <w:highlight w:val="none"/>
                      <w:lang w:val="en-US" w:eastAsia="zh-CN"/>
                    </w:rPr>
                  </w:pPr>
                  <w:r>
                    <w:rPr>
                      <w:rFonts w:hint="eastAsia" w:cs="Times New Roman"/>
                      <w:color w:val="auto"/>
                      <w:spacing w:val="0"/>
                      <w:szCs w:val="22"/>
                      <w:highlight w:val="none"/>
                      <w:lang w:val="en-US" w:eastAsia="zh-CN"/>
                    </w:rPr>
                    <w:t>74-82-8</w:t>
                  </w:r>
                </w:p>
              </w:tc>
              <w:tc>
                <w:tcPr>
                  <w:tcW w:w="628" w:type="pct"/>
                  <w:tcBorders>
                    <w:tl2br w:val="nil"/>
                    <w:tr2bl w:val="nil"/>
                  </w:tcBorders>
                  <w:vAlign w:val="center"/>
                </w:tcPr>
                <w:p w14:paraId="194FFADF">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pacing w:val="0"/>
                      <w:szCs w:val="22"/>
                      <w:highlight w:val="none"/>
                      <w:lang w:val="en-US" w:eastAsia="zh-CN"/>
                    </w:rPr>
                  </w:pPr>
                  <w:r>
                    <w:rPr>
                      <w:rFonts w:hint="eastAsia" w:cs="Times New Roman"/>
                      <w:color w:val="auto"/>
                      <w:spacing w:val="0"/>
                      <w:szCs w:val="22"/>
                      <w:highlight w:val="none"/>
                      <w:lang w:val="en-US" w:eastAsia="zh-CN"/>
                    </w:rPr>
                    <w:t>10</w:t>
                  </w:r>
                </w:p>
              </w:tc>
              <w:tc>
                <w:tcPr>
                  <w:tcW w:w="816" w:type="pct"/>
                  <w:tcBorders>
                    <w:tl2br w:val="nil"/>
                    <w:tr2bl w:val="nil"/>
                  </w:tcBorders>
                  <w:vAlign w:val="center"/>
                </w:tcPr>
                <w:p w14:paraId="4FD49FAA">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pacing w:val="0"/>
                      <w:szCs w:val="22"/>
                      <w:highlight w:val="none"/>
                      <w:lang w:val="en-US" w:eastAsia="zh-CN"/>
                    </w:rPr>
                  </w:pPr>
                  <w:r>
                    <w:rPr>
                      <w:rFonts w:hint="eastAsia" w:cs="Times New Roman"/>
                      <w:color w:val="auto"/>
                      <w:spacing w:val="0"/>
                      <w:szCs w:val="22"/>
                      <w:highlight w:val="none"/>
                      <w:lang w:val="en-US" w:eastAsia="zh-CN"/>
                    </w:rPr>
                    <w:t>0.011×10</w:t>
                  </w:r>
                  <w:r>
                    <w:rPr>
                      <w:rFonts w:hint="eastAsia" w:cs="Times New Roman"/>
                      <w:color w:val="auto"/>
                      <w:spacing w:val="0"/>
                      <w:szCs w:val="22"/>
                      <w:highlight w:val="none"/>
                      <w:vertAlign w:val="superscript"/>
                      <w:lang w:val="en-US" w:eastAsia="zh-CN"/>
                    </w:rPr>
                    <w:t>-3</w:t>
                  </w:r>
                </w:p>
              </w:tc>
              <w:tc>
                <w:tcPr>
                  <w:tcW w:w="769" w:type="pct"/>
                  <w:tcBorders>
                    <w:tl2br w:val="nil"/>
                    <w:tr2bl w:val="nil"/>
                  </w:tcBorders>
                  <w:shd w:val="clear" w:color="auto" w:fill="auto"/>
                  <w:vAlign w:val="center"/>
                </w:tcPr>
                <w:p w14:paraId="70538DCB">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ascii="Times New Roman" w:hAnsi="Times New Roman" w:eastAsia="宋体" w:cs="Times New Roman"/>
                      <w:color w:val="auto"/>
                      <w:spacing w:val="0"/>
                      <w:kern w:val="2"/>
                      <w:sz w:val="21"/>
                      <w:szCs w:val="22"/>
                      <w:highlight w:val="none"/>
                      <w:lang w:val="en-US" w:eastAsia="zh-CN" w:bidi="ar-SA"/>
                    </w:rPr>
                  </w:pPr>
                  <w:r>
                    <w:rPr>
                      <w:rFonts w:hint="eastAsia" w:cs="Times New Roman"/>
                      <w:color w:val="auto"/>
                      <w:spacing w:val="0"/>
                      <w:szCs w:val="22"/>
                      <w:highlight w:val="none"/>
                      <w:lang w:val="en-US" w:eastAsia="zh-CN"/>
                    </w:rPr>
                    <w:t>0.011×10</w:t>
                  </w:r>
                  <w:r>
                    <w:rPr>
                      <w:rFonts w:hint="eastAsia" w:cs="Times New Roman"/>
                      <w:color w:val="auto"/>
                      <w:spacing w:val="0"/>
                      <w:szCs w:val="22"/>
                      <w:highlight w:val="none"/>
                      <w:vertAlign w:val="superscript"/>
                      <w:lang w:val="en-US" w:eastAsia="zh-CN"/>
                    </w:rPr>
                    <w:t>-4</w:t>
                  </w:r>
                </w:p>
              </w:tc>
              <w:tc>
                <w:tcPr>
                  <w:tcW w:w="678" w:type="pct"/>
                  <w:tcBorders>
                    <w:tl2br w:val="nil"/>
                    <w:tr2bl w:val="nil"/>
                  </w:tcBorders>
                  <w:vAlign w:val="center"/>
                </w:tcPr>
                <w:p w14:paraId="05DFA2FF">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pacing w:val="0"/>
                      <w:szCs w:val="22"/>
                      <w:highlight w:val="none"/>
                      <w:lang w:val="en-US" w:eastAsia="zh-CN"/>
                    </w:rPr>
                  </w:pPr>
                  <w:r>
                    <w:rPr>
                      <w:rFonts w:hint="eastAsia" w:cs="Times New Roman"/>
                      <w:color w:val="auto"/>
                      <w:spacing w:val="0"/>
                      <w:szCs w:val="22"/>
                      <w:highlight w:val="none"/>
                      <w:lang w:val="en-US" w:eastAsia="zh-CN"/>
                    </w:rPr>
                    <w:t>管道</w:t>
                  </w:r>
                </w:p>
              </w:tc>
            </w:tr>
          </w:tbl>
          <w:p w14:paraId="380D287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eastAsia" w:cs="Times New Roman"/>
                <w:color w:val="auto"/>
                <w:sz w:val="24"/>
                <w:szCs w:val="24"/>
                <w:highlight w:val="none"/>
                <w:lang w:val="en-US" w:eastAsia="zh-CN"/>
              </w:rPr>
              <w:t>计算得出，本项目Q=0.011×10</w:t>
            </w:r>
            <w:r>
              <w:rPr>
                <w:rFonts w:hint="eastAsia" w:cs="Times New Roman"/>
                <w:color w:val="auto"/>
                <w:sz w:val="24"/>
                <w:szCs w:val="24"/>
                <w:highlight w:val="none"/>
                <w:vertAlign w:val="superscript"/>
                <w:lang w:val="en-US" w:eastAsia="zh-CN"/>
              </w:rPr>
              <w:t>-4</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本项目风险潜势为I，风险评价仅需简单分析，无需设置风险评价范围。</w:t>
            </w:r>
          </w:p>
          <w:p w14:paraId="1C33BBD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环境风险分析</w:t>
            </w:r>
          </w:p>
          <w:p w14:paraId="095769A9">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天然气为易燃、易爆气体，一旦发生泄漏、火灾、爆炸事故，会对环境和人体健康造成危害。如发生大范围火灾爆炸，可能会引起次生、衍生空气</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水</w:t>
            </w:r>
            <w:r>
              <w:rPr>
                <w:rFonts w:hint="default" w:ascii="Times New Roman" w:hAnsi="Times New Roman" w:eastAsia="宋体" w:cs="Times New Roman"/>
                <w:color w:val="auto"/>
                <w:sz w:val="24"/>
                <w:szCs w:val="24"/>
                <w:highlight w:val="none"/>
              </w:rPr>
              <w:t>环境污染事故。事故发生的主要原因是管线缺陷、焊缝开裂、管道腐蚀，违规操作、自然灾害等，若上述事故发生，则会破坏建筑物、危及人身安全、污染周围空气。</w:t>
            </w:r>
          </w:p>
          <w:p w14:paraId="08608266">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eastAsia" w:ascii="Times New Roman" w:hAnsi="Times New Roman" w:eastAsia="黑体" w:cs="Times New Roman"/>
                <w:b w:val="0"/>
                <w:bCs w:val="0"/>
                <w:color w:val="auto"/>
                <w:kern w:val="2"/>
                <w:sz w:val="21"/>
                <w:szCs w:val="21"/>
                <w:highlight w:val="none"/>
                <w:lang w:val="en-US" w:eastAsia="zh-CN" w:bidi="ar-SA"/>
              </w:rPr>
            </w:pPr>
            <w:r>
              <w:rPr>
                <w:rFonts w:hint="eastAsia" w:ascii="Times New Roman" w:hAnsi="Times New Roman" w:eastAsia="黑体" w:cs="Times New Roman"/>
                <w:b w:val="0"/>
                <w:bCs w:val="0"/>
                <w:color w:val="auto"/>
                <w:kern w:val="2"/>
                <w:sz w:val="21"/>
                <w:szCs w:val="21"/>
                <w:highlight w:val="none"/>
                <w:lang w:val="en-US" w:eastAsia="zh-CN" w:bidi="ar-SA"/>
              </w:rPr>
              <w:t>表4</w:t>
            </w:r>
            <w:r>
              <w:rPr>
                <w:rFonts w:hint="eastAsia" w:eastAsia="黑体" w:cs="Times New Roman"/>
                <w:b w:val="0"/>
                <w:bCs w:val="0"/>
                <w:color w:val="auto"/>
                <w:kern w:val="2"/>
                <w:sz w:val="21"/>
                <w:szCs w:val="21"/>
                <w:highlight w:val="none"/>
                <w:lang w:val="en-US" w:eastAsia="zh-CN" w:bidi="ar-SA"/>
              </w:rPr>
              <w:t>.10</w:t>
            </w:r>
            <w:r>
              <w:rPr>
                <w:rFonts w:hint="eastAsia" w:ascii="Times New Roman" w:hAnsi="Times New Roman" w:eastAsia="黑体" w:cs="Times New Roman"/>
                <w:b w:val="0"/>
                <w:bCs w:val="0"/>
                <w:color w:val="auto"/>
                <w:kern w:val="2"/>
                <w:sz w:val="21"/>
                <w:szCs w:val="21"/>
                <w:highlight w:val="none"/>
                <w:lang w:val="en-US" w:eastAsia="zh-CN" w:bidi="ar-SA"/>
              </w:rPr>
              <w:t>-</w:t>
            </w:r>
            <w:r>
              <w:rPr>
                <w:rFonts w:hint="eastAsia" w:eastAsia="黑体" w:cs="Times New Roman"/>
                <w:b w:val="0"/>
                <w:bCs w:val="0"/>
                <w:color w:val="auto"/>
                <w:kern w:val="2"/>
                <w:sz w:val="21"/>
                <w:szCs w:val="21"/>
                <w:highlight w:val="none"/>
                <w:lang w:val="en-US" w:eastAsia="zh-CN" w:bidi="ar-SA"/>
              </w:rPr>
              <w:t>2</w:t>
            </w:r>
            <w:r>
              <w:rPr>
                <w:rFonts w:hint="eastAsia" w:ascii="Times New Roman" w:hAnsi="Times New Roman" w:eastAsia="黑体" w:cs="Times New Roman"/>
                <w:b w:val="0"/>
                <w:bCs w:val="0"/>
                <w:color w:val="auto"/>
                <w:kern w:val="2"/>
                <w:sz w:val="21"/>
                <w:szCs w:val="21"/>
                <w:highlight w:val="none"/>
                <w:lang w:val="en-US" w:eastAsia="zh-CN" w:bidi="ar-SA"/>
              </w:rPr>
              <w:t xml:space="preserve">  环境风险分析表</w:t>
            </w:r>
          </w:p>
          <w:tbl>
            <w:tblPr>
              <w:tblStyle w:val="25"/>
              <w:tblW w:w="80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900"/>
              <w:gridCol w:w="4517"/>
            </w:tblGrid>
            <w:tr w14:paraId="12F75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8" w:type="dxa"/>
                  <w:vAlign w:val="center"/>
                </w:tcPr>
                <w:p w14:paraId="583804C5">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zCs w:val="22"/>
                      <w:highlight w:val="none"/>
                      <w:lang w:val="en-US" w:eastAsia="zh-CN"/>
                    </w:rPr>
                  </w:pPr>
                  <w:r>
                    <w:rPr>
                      <w:rFonts w:hint="eastAsia" w:cs="Times New Roman"/>
                      <w:color w:val="auto"/>
                      <w:szCs w:val="22"/>
                      <w:highlight w:val="none"/>
                      <w:lang w:val="en-US" w:eastAsia="zh-CN"/>
                    </w:rPr>
                    <w:t>事故分类</w:t>
                  </w:r>
                </w:p>
              </w:tc>
              <w:tc>
                <w:tcPr>
                  <w:tcW w:w="1900" w:type="dxa"/>
                  <w:vAlign w:val="center"/>
                </w:tcPr>
                <w:p w14:paraId="08D0C61A">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zCs w:val="22"/>
                      <w:highlight w:val="none"/>
                      <w:lang w:val="en-US" w:eastAsia="zh-CN"/>
                    </w:rPr>
                  </w:pPr>
                  <w:r>
                    <w:rPr>
                      <w:rFonts w:hint="eastAsia" w:cs="Times New Roman"/>
                      <w:color w:val="auto"/>
                      <w:szCs w:val="22"/>
                      <w:highlight w:val="none"/>
                      <w:lang w:val="en-US" w:eastAsia="zh-CN"/>
                    </w:rPr>
                    <w:t>原因类型</w:t>
                  </w:r>
                </w:p>
              </w:tc>
              <w:tc>
                <w:tcPr>
                  <w:tcW w:w="4517" w:type="dxa"/>
                  <w:vAlign w:val="center"/>
                </w:tcPr>
                <w:p w14:paraId="1A14DEE6">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zCs w:val="22"/>
                      <w:highlight w:val="none"/>
                      <w:lang w:val="en-US" w:eastAsia="zh-CN"/>
                    </w:rPr>
                  </w:pPr>
                  <w:r>
                    <w:rPr>
                      <w:rFonts w:hint="eastAsia" w:cs="Times New Roman"/>
                      <w:color w:val="auto"/>
                      <w:szCs w:val="22"/>
                      <w:highlight w:val="none"/>
                      <w:lang w:val="en-US" w:eastAsia="zh-CN"/>
                    </w:rPr>
                    <w:t>风险项</w:t>
                  </w:r>
                </w:p>
              </w:tc>
            </w:tr>
            <w:tr w14:paraId="72E0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588" w:type="dxa"/>
                  <w:vMerge w:val="restart"/>
                  <w:vAlign w:val="center"/>
                </w:tcPr>
                <w:p w14:paraId="50B137BE">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cs="Times New Roman"/>
                      <w:color w:val="auto"/>
                      <w:szCs w:val="22"/>
                      <w:highlight w:val="none"/>
                      <w:lang w:val="en-US" w:eastAsia="zh-CN"/>
                    </w:rPr>
                  </w:pPr>
                  <w:r>
                    <w:rPr>
                      <w:rFonts w:hint="eastAsia" w:cs="Times New Roman"/>
                      <w:color w:val="auto"/>
                      <w:szCs w:val="22"/>
                      <w:highlight w:val="none"/>
                      <w:lang w:val="en-US" w:eastAsia="zh-CN"/>
                    </w:rPr>
                    <w:t>天然气锅炉及管线发生泄漏，并引起火灾、爆炸事故</w:t>
                  </w:r>
                </w:p>
              </w:tc>
              <w:tc>
                <w:tcPr>
                  <w:tcW w:w="1900" w:type="dxa"/>
                  <w:vAlign w:val="center"/>
                </w:tcPr>
                <w:p w14:paraId="2C1D72EB">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zCs w:val="22"/>
                      <w:highlight w:val="none"/>
                      <w:lang w:val="en-US" w:eastAsia="zh-CN"/>
                    </w:rPr>
                  </w:pPr>
                  <w:r>
                    <w:rPr>
                      <w:rFonts w:hint="eastAsia" w:cs="Times New Roman"/>
                      <w:color w:val="auto"/>
                      <w:szCs w:val="22"/>
                      <w:highlight w:val="none"/>
                      <w:lang w:val="en-US" w:eastAsia="zh-CN"/>
                    </w:rPr>
                    <w:t>设备、操作</w:t>
                  </w:r>
                </w:p>
              </w:tc>
              <w:tc>
                <w:tcPr>
                  <w:tcW w:w="4517" w:type="dxa"/>
                  <w:vAlign w:val="center"/>
                </w:tcPr>
                <w:p w14:paraId="43E7B649">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cs="Times New Roman"/>
                      <w:color w:val="auto"/>
                      <w:szCs w:val="22"/>
                      <w:highlight w:val="none"/>
                      <w:lang w:val="en-US" w:eastAsia="zh-CN"/>
                    </w:rPr>
                  </w:pPr>
                  <w:r>
                    <w:rPr>
                      <w:rFonts w:hint="eastAsia" w:cs="Times New Roman"/>
                      <w:color w:val="auto"/>
                      <w:szCs w:val="22"/>
                      <w:highlight w:val="none"/>
                      <w:lang w:val="en-US" w:eastAsia="zh-CN"/>
                    </w:rPr>
                    <w:t>锅炉及连接管道因老化、受外力压迫受损，或因转运时工人操作不当，发生泄漏，遇火源发生火灾、爆炸。</w:t>
                  </w:r>
                </w:p>
              </w:tc>
            </w:tr>
            <w:tr w14:paraId="1177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8" w:type="dxa"/>
                  <w:vMerge w:val="continue"/>
                  <w:vAlign w:val="center"/>
                </w:tcPr>
                <w:p w14:paraId="6620623A">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cs="Times New Roman"/>
                      <w:color w:val="auto"/>
                      <w:szCs w:val="22"/>
                      <w:highlight w:val="none"/>
                      <w:lang w:val="en-US" w:eastAsia="zh-CN"/>
                    </w:rPr>
                  </w:pPr>
                </w:p>
              </w:tc>
              <w:tc>
                <w:tcPr>
                  <w:tcW w:w="1900" w:type="dxa"/>
                  <w:vAlign w:val="center"/>
                </w:tcPr>
                <w:p w14:paraId="68884E22">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default" w:cs="Times New Roman"/>
                      <w:color w:val="auto"/>
                      <w:szCs w:val="22"/>
                      <w:highlight w:val="none"/>
                      <w:lang w:val="en-US" w:eastAsia="zh-CN"/>
                    </w:rPr>
                  </w:pPr>
                  <w:r>
                    <w:rPr>
                      <w:rFonts w:hint="eastAsia" w:cs="Times New Roman"/>
                      <w:color w:val="auto"/>
                      <w:szCs w:val="22"/>
                      <w:highlight w:val="none"/>
                      <w:lang w:val="en-US" w:eastAsia="zh-CN"/>
                    </w:rPr>
                    <w:t>自然因素</w:t>
                  </w:r>
                </w:p>
              </w:tc>
              <w:tc>
                <w:tcPr>
                  <w:tcW w:w="4517" w:type="dxa"/>
                  <w:vAlign w:val="center"/>
                </w:tcPr>
                <w:p w14:paraId="62C6E517">
                  <w:pPr>
                    <w:keepNext w:val="0"/>
                    <w:keepLines w:val="0"/>
                    <w:pageBreakBefore w:val="0"/>
                    <w:widowControl w:val="0"/>
                    <w:kinsoku/>
                    <w:wordWrap/>
                    <w:overflowPunct/>
                    <w:topLinePunct/>
                    <w:autoSpaceDE/>
                    <w:autoSpaceDN/>
                    <w:bidi w:val="0"/>
                    <w:adjustRightInd w:val="0"/>
                    <w:snapToGrid w:val="0"/>
                    <w:spacing w:line="320" w:lineRule="exact"/>
                    <w:jc w:val="center"/>
                    <w:textAlignment w:val="auto"/>
                    <w:rPr>
                      <w:rFonts w:hint="eastAsia" w:cs="Times New Roman"/>
                      <w:color w:val="auto"/>
                      <w:szCs w:val="22"/>
                      <w:highlight w:val="none"/>
                      <w:lang w:val="en-US" w:eastAsia="zh-CN"/>
                    </w:rPr>
                  </w:pPr>
                  <w:r>
                    <w:rPr>
                      <w:rFonts w:hint="eastAsia" w:cs="Times New Roman"/>
                      <w:color w:val="auto"/>
                      <w:szCs w:val="22"/>
                      <w:highlight w:val="none"/>
                      <w:lang w:val="en-US" w:eastAsia="zh-CN"/>
                    </w:rPr>
                    <w:t>①地震、地表沉陷或塌陷等地质灾害引发锅炉及管线受外力裂缝、折断等造成泄漏，遇火源发生火灾、爆炸。②泄漏、火灾爆炸事故后未完全燃烧的有毒有害物质，以及完全燃烧后伴生/次生的有害物质进入环境空气，从而对大气环境造成影响。</w:t>
                  </w:r>
                </w:p>
              </w:tc>
            </w:tr>
          </w:tbl>
          <w:p w14:paraId="5CCF5C5D">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天然气泄漏后发生火灾爆炸不完全燃烧会产生CO，CO在空气中的浓度高低会直接影响人体的健康。CO是一种无色、无味，略轻于空气的一种窒息性气体。CO是一种血液神经毒物，随空气吸入人体，经肺泡进入血液循环，与血液中的血红蛋白结合成碳氧血红蛋白，使红细胞携氧能力下降，导致人体出现缺氧甚至昏迷的症状。</w:t>
            </w:r>
          </w:p>
          <w:p w14:paraId="1DA5330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环境风险防范措施</w:t>
            </w:r>
          </w:p>
          <w:p w14:paraId="615A2C03">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本项目天然气可能发生泄漏，泄漏风险防范及应急措施如下</w:t>
            </w:r>
            <w:r>
              <w:rPr>
                <w:rFonts w:hint="eastAsia" w:cs="Times New Roman"/>
                <w:color w:val="auto"/>
                <w:sz w:val="24"/>
                <w:szCs w:val="24"/>
                <w:highlight w:val="none"/>
                <w:lang w:eastAsia="zh-CN"/>
              </w:rPr>
              <w:t>：</w:t>
            </w:r>
          </w:p>
          <w:p w14:paraId="02BA728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val="en-US" w:eastAsia="zh-CN"/>
              </w:rPr>
              <w:t>①锅炉建设配套的辅助设备，如检测仪(检测空气中天然气的浓度值)、泄爆井(泄压通道)、防爆轴流风机、防爆墙、报警器、安全阀、通排风系统等，并配有相应的安全消防措施及泄漏报警紧急切断装置</w:t>
            </w:r>
            <w:r>
              <w:rPr>
                <w:rFonts w:hint="eastAsia" w:cs="Times New Roman"/>
                <w:color w:val="auto"/>
                <w:sz w:val="24"/>
                <w:szCs w:val="24"/>
                <w:highlight w:val="none"/>
                <w:lang w:eastAsia="zh-CN"/>
              </w:rPr>
              <w:t>；</w:t>
            </w:r>
          </w:p>
          <w:p w14:paraId="40C3704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②定期对天然气管道、阀门、安全阀等设施进行检查，定期检查锅炉水位表、压力表、安全阀等安全附件，确保其可靠性。定期对锅炉内部进行检查，查看炉膛是否破裂，燃料输送管路是否完好，保证管路不发生燃料泄漏；</w:t>
            </w:r>
          </w:p>
          <w:p w14:paraId="5079314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③不得实施包括擅自改变天然气计量器具原始安装状态、破坏计量器具及由供气单位制作的铅封等危及供用气安全的行为；</w:t>
            </w:r>
          </w:p>
          <w:p w14:paraId="4DB392B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④严禁烟火，加强管理，严格操作规范，杜绝因操作失误导致的天然气泄漏事故发生；</w:t>
            </w:r>
          </w:p>
          <w:p w14:paraId="2B74F0D6">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⑤制定风险应急预案，一旦发现天然气泄漏，应立即关掉总阀门并切断火源，疏散周围人群，组织人员排查泄漏地点及原因。</w:t>
            </w:r>
          </w:p>
          <w:p w14:paraId="43FCBA3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⑥加强消防设施建设，应配置灭火器等消防器材，并经常性检修保养，确保设施完好可用。</w:t>
            </w:r>
          </w:p>
          <w:p w14:paraId="77AA5CA8">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采取上述措施后，可有效控制</w:t>
            </w:r>
            <w:r>
              <w:rPr>
                <w:rFonts w:hint="eastAsia" w:cs="Times New Roman"/>
                <w:color w:val="auto"/>
                <w:sz w:val="24"/>
                <w:szCs w:val="24"/>
                <w:highlight w:val="none"/>
                <w:lang w:val="en-US" w:eastAsia="zh-CN"/>
              </w:rPr>
              <w:t>天然气泄漏对周边环境的</w:t>
            </w:r>
            <w:r>
              <w:rPr>
                <w:rFonts w:hint="default" w:ascii="Times New Roman" w:hAnsi="Times New Roman" w:eastAsia="宋体" w:cs="Times New Roman"/>
                <w:color w:val="auto"/>
                <w:sz w:val="24"/>
                <w:szCs w:val="24"/>
                <w:highlight w:val="none"/>
              </w:rPr>
              <w:t>影响。</w:t>
            </w:r>
          </w:p>
          <w:p w14:paraId="5ED4C9A5">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4</w:t>
            </w:r>
            <w:bookmarkStart w:id="8" w:name="_Toc222586620"/>
            <w:bookmarkStart w:id="9" w:name="_Toc306609410"/>
            <w:bookmarkStart w:id="10" w:name="_Toc219170345"/>
            <w:bookmarkStart w:id="11" w:name="_Toc164788227"/>
            <w:bookmarkStart w:id="12" w:name="_Toc179601982"/>
            <w:bookmarkStart w:id="13" w:name="_Toc157591136"/>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环境风险应急预案</w:t>
            </w:r>
            <w:bookmarkEnd w:id="8"/>
            <w:bookmarkEnd w:id="9"/>
            <w:bookmarkEnd w:id="10"/>
            <w:bookmarkEnd w:id="11"/>
            <w:bookmarkEnd w:id="12"/>
            <w:bookmarkEnd w:id="13"/>
          </w:p>
          <w:p w14:paraId="7F4547E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对可能发生的事故，应制定应急计划，使各部门在事故发生后能有步骤、有秩序地采取各项应急措施。</w:t>
            </w:r>
          </w:p>
          <w:p w14:paraId="5D0B872E">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（1）事故发生后，应根据具体情况采取应急措施，切断泄漏源、火源，控制事故扩大，同时通知控制室，根据事故类型、大小启动相应的应急预案；</w:t>
            </w:r>
          </w:p>
          <w:p w14:paraId="692C1C5F">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（2）发生重大事故，应立即上报相关部门，启动社会救援系统，就近地区调拨到专业救援队伍协助处理；</w:t>
            </w:r>
          </w:p>
          <w:p w14:paraId="7093D9E7">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（3）事故发生后，应立即通知当地</w:t>
            </w:r>
            <w:r>
              <w:rPr>
                <w:rFonts w:hint="eastAsia" w:ascii="Times New Roman" w:hAnsi="Times New Roman" w:eastAsia="宋体" w:cs="Times New Roman"/>
                <w:color w:val="auto"/>
                <w:sz w:val="24"/>
                <w:szCs w:val="24"/>
                <w:highlight w:val="none"/>
                <w:lang w:val="en-US" w:eastAsia="zh-CN"/>
              </w:rPr>
              <w:t>生态环境</w:t>
            </w:r>
            <w:r>
              <w:rPr>
                <w:rFonts w:hint="default" w:ascii="Times New Roman" w:hAnsi="Times New Roman" w:eastAsia="宋体" w:cs="Times New Roman"/>
                <w:color w:val="auto"/>
                <w:sz w:val="24"/>
                <w:szCs w:val="24"/>
                <w:highlight w:val="none"/>
                <w:lang w:val="en-US" w:eastAsia="zh-CN"/>
              </w:rPr>
              <w:t>、消防等部门，进行救援与监控。</w:t>
            </w:r>
          </w:p>
          <w:p w14:paraId="237E249D">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none"/>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w:t>
            </w:r>
            <w:r>
              <w:rPr>
                <w:rFonts w:hint="eastAsia" w:eastAsia="黑体" w:cs="Times New Roman"/>
                <w:b w:val="0"/>
                <w:bCs w:val="0"/>
                <w:color w:val="auto"/>
                <w:kern w:val="2"/>
                <w:sz w:val="21"/>
                <w:szCs w:val="21"/>
                <w:highlight w:val="none"/>
                <w:lang w:val="en-US" w:eastAsia="zh-CN" w:bidi="ar-SA"/>
              </w:rPr>
              <w:t>4.10-3</w:t>
            </w:r>
            <w:r>
              <w:rPr>
                <w:rFonts w:hint="default" w:ascii="Times New Roman" w:hAnsi="Times New Roman" w:eastAsia="黑体" w:cs="Times New Roman"/>
                <w:b w:val="0"/>
                <w:bCs w:val="0"/>
                <w:color w:val="auto"/>
                <w:kern w:val="2"/>
                <w:sz w:val="21"/>
                <w:szCs w:val="21"/>
                <w:highlight w:val="none"/>
                <w:lang w:val="en-US" w:eastAsia="zh-CN" w:bidi="ar-SA"/>
              </w:rPr>
              <w:t xml:space="preserve">  环境风险应急预案内容一览表</w:t>
            </w:r>
          </w:p>
          <w:tbl>
            <w:tblPr>
              <w:tblStyle w:val="24"/>
              <w:tblW w:w="793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763"/>
              <w:gridCol w:w="5505"/>
            </w:tblGrid>
            <w:tr w14:paraId="490337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3CC0106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序号</w:t>
                  </w:r>
                </w:p>
              </w:tc>
              <w:tc>
                <w:tcPr>
                  <w:tcW w:w="1776" w:type="dxa"/>
                  <w:tcBorders>
                    <w:tl2br w:val="nil"/>
                    <w:tr2bl w:val="nil"/>
                  </w:tcBorders>
                  <w:vAlign w:val="center"/>
                </w:tcPr>
                <w:p w14:paraId="62592D9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项目</w:t>
                  </w:r>
                </w:p>
              </w:tc>
              <w:tc>
                <w:tcPr>
                  <w:tcW w:w="5550" w:type="dxa"/>
                  <w:tcBorders>
                    <w:tl2br w:val="nil"/>
                    <w:tr2bl w:val="nil"/>
                  </w:tcBorders>
                  <w:vAlign w:val="center"/>
                </w:tcPr>
                <w:p w14:paraId="6CE2A66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内容及要求</w:t>
                  </w:r>
                </w:p>
              </w:tc>
            </w:tr>
            <w:tr w14:paraId="6226AF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7C70BB6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w:t>
                  </w:r>
                </w:p>
              </w:tc>
              <w:tc>
                <w:tcPr>
                  <w:tcW w:w="1776" w:type="dxa"/>
                  <w:tcBorders>
                    <w:tl2br w:val="nil"/>
                    <w:tr2bl w:val="nil"/>
                  </w:tcBorders>
                  <w:vAlign w:val="center"/>
                </w:tcPr>
                <w:p w14:paraId="38FAA83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应急计划区</w:t>
                  </w:r>
                </w:p>
              </w:tc>
              <w:tc>
                <w:tcPr>
                  <w:tcW w:w="5550" w:type="dxa"/>
                  <w:tcBorders>
                    <w:tl2br w:val="nil"/>
                    <w:tr2bl w:val="nil"/>
                  </w:tcBorders>
                  <w:vAlign w:val="center"/>
                </w:tcPr>
                <w:p w14:paraId="3E0FB05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危险目标：</w:t>
                  </w:r>
                  <w:r>
                    <w:rPr>
                      <w:rFonts w:hint="eastAsia" w:cs="Times New Roman"/>
                      <w:color w:val="auto"/>
                      <w:kern w:val="0"/>
                      <w:sz w:val="21"/>
                      <w:szCs w:val="21"/>
                      <w:highlight w:val="none"/>
                      <w:lang w:val="en-US" w:eastAsia="zh-CN" w:bidi="ar-SA"/>
                    </w:rPr>
                    <w:t>天然气输送管道</w:t>
                  </w:r>
                </w:p>
              </w:tc>
            </w:tr>
            <w:tr w14:paraId="03156C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4BEDA02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2</w:t>
                  </w:r>
                </w:p>
              </w:tc>
              <w:tc>
                <w:tcPr>
                  <w:tcW w:w="1776" w:type="dxa"/>
                  <w:tcBorders>
                    <w:tl2br w:val="nil"/>
                    <w:tr2bl w:val="nil"/>
                  </w:tcBorders>
                  <w:vAlign w:val="center"/>
                </w:tcPr>
                <w:p w14:paraId="67B4E9B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应急组织</w:t>
                  </w:r>
                </w:p>
              </w:tc>
              <w:tc>
                <w:tcPr>
                  <w:tcW w:w="5550" w:type="dxa"/>
                  <w:tcBorders>
                    <w:tl2br w:val="nil"/>
                    <w:tr2bl w:val="nil"/>
                  </w:tcBorders>
                  <w:vAlign w:val="center"/>
                </w:tcPr>
                <w:p w14:paraId="7AF057F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企业应急组织机构及人员</w:t>
                  </w:r>
                </w:p>
              </w:tc>
            </w:tr>
            <w:tr w14:paraId="16CA1F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5E2123B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3</w:t>
                  </w:r>
                </w:p>
              </w:tc>
              <w:tc>
                <w:tcPr>
                  <w:tcW w:w="1776" w:type="dxa"/>
                  <w:tcBorders>
                    <w:tl2br w:val="nil"/>
                    <w:tr2bl w:val="nil"/>
                  </w:tcBorders>
                  <w:vAlign w:val="center"/>
                </w:tcPr>
                <w:p w14:paraId="687E1E2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预案分级响应</w:t>
                  </w:r>
                </w:p>
                <w:p w14:paraId="0FD8F93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条件</w:t>
                  </w:r>
                </w:p>
              </w:tc>
              <w:tc>
                <w:tcPr>
                  <w:tcW w:w="5550" w:type="dxa"/>
                  <w:tcBorders>
                    <w:tl2br w:val="nil"/>
                    <w:tr2bl w:val="nil"/>
                  </w:tcBorders>
                  <w:vAlign w:val="center"/>
                </w:tcPr>
                <w:p w14:paraId="6C4218E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规定预案的级别及分级响应条件</w:t>
                  </w:r>
                </w:p>
              </w:tc>
            </w:tr>
            <w:tr w14:paraId="4A10FA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5EB2D36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4</w:t>
                  </w:r>
                </w:p>
              </w:tc>
              <w:tc>
                <w:tcPr>
                  <w:tcW w:w="1776" w:type="dxa"/>
                  <w:tcBorders>
                    <w:tl2br w:val="nil"/>
                    <w:tr2bl w:val="nil"/>
                  </w:tcBorders>
                  <w:vAlign w:val="center"/>
                </w:tcPr>
                <w:p w14:paraId="740198F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应急救援保障</w:t>
                  </w:r>
                </w:p>
              </w:tc>
              <w:tc>
                <w:tcPr>
                  <w:tcW w:w="5550" w:type="dxa"/>
                  <w:tcBorders>
                    <w:tl2br w:val="nil"/>
                    <w:tr2bl w:val="nil"/>
                  </w:tcBorders>
                  <w:vAlign w:val="center"/>
                </w:tcPr>
                <w:p w14:paraId="6CAA8BB5">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应急设施、设备及器材等</w:t>
                  </w:r>
                </w:p>
              </w:tc>
            </w:tr>
            <w:tr w14:paraId="28ADCD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50AA215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5</w:t>
                  </w:r>
                </w:p>
              </w:tc>
              <w:tc>
                <w:tcPr>
                  <w:tcW w:w="1776" w:type="dxa"/>
                  <w:tcBorders>
                    <w:tl2br w:val="nil"/>
                    <w:tr2bl w:val="nil"/>
                  </w:tcBorders>
                  <w:vAlign w:val="center"/>
                </w:tcPr>
                <w:p w14:paraId="1860DD2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应急通讯通告与交通</w:t>
                  </w:r>
                </w:p>
              </w:tc>
              <w:tc>
                <w:tcPr>
                  <w:tcW w:w="5550" w:type="dxa"/>
                  <w:tcBorders>
                    <w:tl2br w:val="nil"/>
                    <w:tr2bl w:val="nil"/>
                  </w:tcBorders>
                  <w:vAlign w:val="center"/>
                </w:tcPr>
                <w:p w14:paraId="66A403D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规定应急状态下的通讯、通告方式和交通保障、管制等事项</w:t>
                  </w:r>
                </w:p>
              </w:tc>
            </w:tr>
            <w:tr w14:paraId="0A7156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7CDAAD2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6</w:t>
                  </w:r>
                </w:p>
              </w:tc>
              <w:tc>
                <w:tcPr>
                  <w:tcW w:w="1776" w:type="dxa"/>
                  <w:tcBorders>
                    <w:tl2br w:val="nil"/>
                    <w:tr2bl w:val="nil"/>
                  </w:tcBorders>
                  <w:vAlign w:val="center"/>
                </w:tcPr>
                <w:p w14:paraId="7661930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应急环境监测及事故评估</w:t>
                  </w:r>
                </w:p>
              </w:tc>
              <w:tc>
                <w:tcPr>
                  <w:tcW w:w="5550" w:type="dxa"/>
                  <w:tcBorders>
                    <w:tl2br w:val="nil"/>
                    <w:tr2bl w:val="nil"/>
                  </w:tcBorders>
                  <w:vAlign w:val="center"/>
                </w:tcPr>
                <w:p w14:paraId="4AC6561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由专业人员对环境风险事故现场进行应急监测，对事故性质、严重程度等造成的环境危害后果进行评估，吸取经验教</w:t>
                  </w:r>
                  <w:r>
                    <w:rPr>
                      <w:rFonts w:hint="eastAsia" w:cs="Times New Roman"/>
                      <w:color w:val="auto"/>
                      <w:kern w:val="0"/>
                      <w:sz w:val="21"/>
                      <w:szCs w:val="21"/>
                      <w:highlight w:val="none"/>
                      <w:lang w:val="en-US" w:eastAsia="zh-CN" w:bidi="ar-SA"/>
                    </w:rPr>
                    <w:t>训避</w:t>
                  </w:r>
                  <w:r>
                    <w:rPr>
                      <w:rFonts w:hint="default" w:ascii="Times New Roman" w:hAnsi="Times New Roman" w:eastAsia="宋体" w:cs="Times New Roman"/>
                      <w:color w:val="auto"/>
                      <w:kern w:val="0"/>
                      <w:sz w:val="21"/>
                      <w:szCs w:val="21"/>
                      <w:highlight w:val="none"/>
                      <w:lang w:val="en-US" w:eastAsia="zh-CN" w:bidi="ar-SA"/>
                    </w:rPr>
                    <w:t>免再次发生事故，为指挥部门提供决策依据。</w:t>
                  </w:r>
                </w:p>
              </w:tc>
            </w:tr>
            <w:tr w14:paraId="5F2DA1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59D6FD9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7</w:t>
                  </w:r>
                </w:p>
              </w:tc>
              <w:tc>
                <w:tcPr>
                  <w:tcW w:w="1776" w:type="dxa"/>
                  <w:tcBorders>
                    <w:tl2br w:val="nil"/>
                    <w:tr2bl w:val="nil"/>
                  </w:tcBorders>
                  <w:vAlign w:val="center"/>
                </w:tcPr>
                <w:p w14:paraId="4EF0F99E">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应急防护措施</w:t>
                  </w:r>
                </w:p>
              </w:tc>
              <w:tc>
                <w:tcPr>
                  <w:tcW w:w="5550" w:type="dxa"/>
                  <w:tcBorders>
                    <w:tl2br w:val="nil"/>
                    <w:tr2bl w:val="nil"/>
                  </w:tcBorders>
                  <w:vAlign w:val="center"/>
                </w:tcPr>
                <w:p w14:paraId="6C820C7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事故现场：控制事故发展，防止扩大、蔓延及连锁反应；相应的设施器材配备；</w:t>
                  </w:r>
                  <w:r>
                    <w:rPr>
                      <w:rFonts w:hint="eastAsia" w:cs="Times New Roman"/>
                      <w:color w:val="auto"/>
                      <w:kern w:val="0"/>
                      <w:sz w:val="21"/>
                      <w:szCs w:val="21"/>
                      <w:highlight w:val="none"/>
                      <w:lang w:val="en-US" w:eastAsia="zh-CN" w:bidi="ar-SA"/>
                    </w:rPr>
                    <w:t>邻近地区</w:t>
                  </w:r>
                  <w:r>
                    <w:rPr>
                      <w:rFonts w:hint="default" w:ascii="Times New Roman" w:hAnsi="Times New Roman" w:eastAsia="宋体" w:cs="Times New Roman"/>
                      <w:color w:val="auto"/>
                      <w:kern w:val="0"/>
                      <w:sz w:val="21"/>
                      <w:szCs w:val="21"/>
                      <w:highlight w:val="none"/>
                      <w:lang w:val="en-US" w:eastAsia="zh-CN" w:bidi="ar-SA"/>
                    </w:rPr>
                    <w:t>：控制防火区域，控制和消除环境污染的措施及相应的设备设施。</w:t>
                  </w:r>
                </w:p>
              </w:tc>
            </w:tr>
            <w:tr w14:paraId="1D8562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29E338A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8</w:t>
                  </w:r>
                </w:p>
              </w:tc>
              <w:tc>
                <w:tcPr>
                  <w:tcW w:w="1776" w:type="dxa"/>
                  <w:tcBorders>
                    <w:tl2br w:val="nil"/>
                    <w:tr2bl w:val="nil"/>
                  </w:tcBorders>
                  <w:vAlign w:val="center"/>
                </w:tcPr>
                <w:p w14:paraId="14816C8F">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撤离组织计划，医疗救护与公众健康</w:t>
                  </w:r>
                </w:p>
              </w:tc>
              <w:tc>
                <w:tcPr>
                  <w:tcW w:w="5550" w:type="dxa"/>
                  <w:tcBorders>
                    <w:tl2br w:val="nil"/>
                    <w:tr2bl w:val="nil"/>
                  </w:tcBorders>
                  <w:vAlign w:val="center"/>
                </w:tcPr>
                <w:p w14:paraId="5A1892D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事故现场：事故处理人员、现场及</w:t>
                  </w:r>
                  <w:r>
                    <w:rPr>
                      <w:rFonts w:hint="eastAsia" w:cs="Times New Roman"/>
                      <w:color w:val="auto"/>
                      <w:kern w:val="0"/>
                      <w:sz w:val="21"/>
                      <w:szCs w:val="21"/>
                      <w:highlight w:val="none"/>
                      <w:lang w:val="en-US" w:eastAsia="zh-CN" w:bidi="ar-SA"/>
                    </w:rPr>
                    <w:t>邻近</w:t>
                  </w:r>
                  <w:r>
                    <w:rPr>
                      <w:rFonts w:hint="default" w:ascii="Times New Roman" w:hAnsi="Times New Roman" w:eastAsia="宋体" w:cs="Times New Roman"/>
                      <w:color w:val="auto"/>
                      <w:kern w:val="0"/>
                      <w:sz w:val="21"/>
                      <w:szCs w:val="21"/>
                      <w:highlight w:val="none"/>
                      <w:lang w:val="en-US" w:eastAsia="zh-CN" w:bidi="ar-SA"/>
                    </w:rPr>
                    <w:t>人员的撤离组织计划和紧急救护方案；邻近地区：制定受事故影响的</w:t>
                  </w:r>
                  <w:r>
                    <w:rPr>
                      <w:rFonts w:hint="eastAsia" w:cs="Times New Roman"/>
                      <w:color w:val="auto"/>
                      <w:kern w:val="0"/>
                      <w:sz w:val="21"/>
                      <w:szCs w:val="21"/>
                      <w:highlight w:val="none"/>
                      <w:lang w:val="en-US" w:eastAsia="zh-CN" w:bidi="ar-SA"/>
                    </w:rPr>
                    <w:t>邻近地区</w:t>
                  </w:r>
                  <w:r>
                    <w:rPr>
                      <w:rFonts w:hint="default" w:ascii="Times New Roman" w:hAnsi="Times New Roman" w:eastAsia="宋体" w:cs="Times New Roman"/>
                      <w:color w:val="auto"/>
                      <w:kern w:val="0"/>
                      <w:sz w:val="21"/>
                      <w:szCs w:val="21"/>
                      <w:highlight w:val="none"/>
                      <w:lang w:val="en-US" w:eastAsia="zh-CN" w:bidi="ar-SA"/>
                    </w:rPr>
                    <w:t>人员的疏散组织计划和紧急救护方案。</w:t>
                  </w:r>
                </w:p>
              </w:tc>
            </w:tr>
            <w:tr w14:paraId="3F0A66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361DC4D8">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9</w:t>
                  </w:r>
                </w:p>
              </w:tc>
              <w:tc>
                <w:tcPr>
                  <w:tcW w:w="1776" w:type="dxa"/>
                  <w:tcBorders>
                    <w:tl2br w:val="nil"/>
                    <w:tr2bl w:val="nil"/>
                  </w:tcBorders>
                  <w:vAlign w:val="center"/>
                </w:tcPr>
                <w:p w14:paraId="79A4AC9B">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应急状态终止恢复措施</w:t>
                  </w:r>
                </w:p>
              </w:tc>
              <w:tc>
                <w:tcPr>
                  <w:tcW w:w="5550" w:type="dxa"/>
                  <w:tcBorders>
                    <w:tl2br w:val="nil"/>
                    <w:tr2bl w:val="nil"/>
                  </w:tcBorders>
                  <w:vAlign w:val="center"/>
                </w:tcPr>
                <w:p w14:paraId="20E08FA6">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事故现场：规定应急状态</w:t>
                  </w:r>
                  <w:r>
                    <w:rPr>
                      <w:rFonts w:hint="eastAsia" w:cs="Times New Roman"/>
                      <w:color w:val="auto"/>
                      <w:kern w:val="0"/>
                      <w:sz w:val="21"/>
                      <w:szCs w:val="21"/>
                      <w:highlight w:val="none"/>
                      <w:lang w:val="en-US" w:eastAsia="zh-CN" w:bidi="ar-SA"/>
                    </w:rPr>
                    <w:t>中止</w:t>
                  </w:r>
                  <w:r>
                    <w:rPr>
                      <w:rFonts w:hint="default" w:ascii="Times New Roman" w:hAnsi="Times New Roman" w:eastAsia="宋体" w:cs="Times New Roman"/>
                      <w:color w:val="auto"/>
                      <w:kern w:val="0"/>
                      <w:sz w:val="21"/>
                      <w:szCs w:val="21"/>
                      <w:highlight w:val="none"/>
                      <w:lang w:val="en-US" w:eastAsia="zh-CN" w:bidi="ar-SA"/>
                    </w:rPr>
                    <w:t>秩序，事故善后处理，恢复生产措施；</w:t>
                  </w:r>
                  <w:r>
                    <w:rPr>
                      <w:rFonts w:hint="eastAsia" w:cs="Times New Roman"/>
                      <w:color w:val="auto"/>
                      <w:kern w:val="0"/>
                      <w:sz w:val="21"/>
                      <w:szCs w:val="21"/>
                      <w:highlight w:val="none"/>
                      <w:lang w:val="en-US" w:eastAsia="zh-CN" w:bidi="ar-SA"/>
                    </w:rPr>
                    <w:t>邻近地区</w:t>
                  </w:r>
                  <w:r>
                    <w:rPr>
                      <w:rFonts w:hint="default" w:ascii="Times New Roman" w:hAnsi="Times New Roman" w:eastAsia="宋体" w:cs="Times New Roman"/>
                      <w:color w:val="auto"/>
                      <w:kern w:val="0"/>
                      <w:sz w:val="21"/>
                      <w:szCs w:val="21"/>
                      <w:highlight w:val="none"/>
                      <w:lang w:val="en-US" w:eastAsia="zh-CN" w:bidi="ar-SA"/>
                    </w:rPr>
                    <w:t>：解除事故警戒、公众返回和善后恢复措施。</w:t>
                  </w:r>
                </w:p>
              </w:tc>
            </w:tr>
            <w:tr w14:paraId="6D8F0E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7D3EFD6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w:t>
                  </w:r>
                </w:p>
              </w:tc>
              <w:tc>
                <w:tcPr>
                  <w:tcW w:w="1776" w:type="dxa"/>
                  <w:tcBorders>
                    <w:tl2br w:val="nil"/>
                    <w:tr2bl w:val="nil"/>
                  </w:tcBorders>
                  <w:vAlign w:val="center"/>
                </w:tcPr>
                <w:p w14:paraId="2253E80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人员培训与演习</w:t>
                  </w:r>
                </w:p>
              </w:tc>
              <w:tc>
                <w:tcPr>
                  <w:tcW w:w="5550" w:type="dxa"/>
                  <w:tcBorders>
                    <w:tl2br w:val="nil"/>
                    <w:tr2bl w:val="nil"/>
                  </w:tcBorders>
                  <w:vAlign w:val="center"/>
                </w:tcPr>
                <w:p w14:paraId="76B4B17D">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应急计划制定后，平时安排事故处理人员进行相关知识培训、进行事故应急处理演习；对企业职工进行安全卫生教育。</w:t>
                  </w:r>
                </w:p>
              </w:tc>
            </w:tr>
            <w:tr w14:paraId="6613B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0AA8FB02">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11</w:t>
                  </w:r>
                </w:p>
              </w:tc>
              <w:tc>
                <w:tcPr>
                  <w:tcW w:w="1776" w:type="dxa"/>
                  <w:tcBorders>
                    <w:tl2br w:val="nil"/>
                    <w:tr2bl w:val="nil"/>
                  </w:tcBorders>
                  <w:vAlign w:val="center"/>
                </w:tcPr>
                <w:p w14:paraId="623F5B9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公众教育</w:t>
                  </w:r>
                </w:p>
              </w:tc>
              <w:tc>
                <w:tcPr>
                  <w:tcW w:w="5550" w:type="dxa"/>
                  <w:tcBorders>
                    <w:tl2br w:val="nil"/>
                    <w:tr2bl w:val="nil"/>
                  </w:tcBorders>
                  <w:vAlign w:val="center"/>
                </w:tcPr>
                <w:p w14:paraId="35AB0760">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对企业</w:t>
                  </w:r>
                  <w:r>
                    <w:rPr>
                      <w:rFonts w:hint="eastAsia" w:cs="Times New Roman"/>
                      <w:color w:val="auto"/>
                      <w:kern w:val="0"/>
                      <w:sz w:val="21"/>
                      <w:szCs w:val="21"/>
                      <w:highlight w:val="none"/>
                      <w:lang w:val="en-US" w:eastAsia="zh-CN" w:bidi="ar-SA"/>
                    </w:rPr>
                    <w:t>邻近地区</w:t>
                  </w:r>
                  <w:r>
                    <w:rPr>
                      <w:rFonts w:hint="default" w:ascii="Times New Roman" w:hAnsi="Times New Roman" w:eastAsia="宋体" w:cs="Times New Roman"/>
                      <w:color w:val="auto"/>
                      <w:kern w:val="0"/>
                      <w:sz w:val="21"/>
                      <w:szCs w:val="21"/>
                      <w:highlight w:val="none"/>
                      <w:lang w:val="en-US" w:eastAsia="zh-CN" w:bidi="ar-SA"/>
                    </w:rPr>
                    <w:t>公众开展环境风险事故预防教育、应急知识培训并定期发布相关信息。</w:t>
                  </w:r>
                </w:p>
              </w:tc>
            </w:tr>
            <w:tr w14:paraId="42016A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3159835C">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12</w:t>
                  </w:r>
                </w:p>
              </w:tc>
              <w:tc>
                <w:tcPr>
                  <w:tcW w:w="1776" w:type="dxa"/>
                  <w:tcBorders>
                    <w:tl2br w:val="nil"/>
                    <w:tr2bl w:val="nil"/>
                  </w:tcBorders>
                  <w:vAlign w:val="center"/>
                </w:tcPr>
                <w:p w14:paraId="6E455C4A">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记录和报告</w:t>
                  </w:r>
                </w:p>
              </w:tc>
              <w:tc>
                <w:tcPr>
                  <w:tcW w:w="5550" w:type="dxa"/>
                  <w:tcBorders>
                    <w:tl2br w:val="nil"/>
                    <w:tr2bl w:val="nil"/>
                  </w:tcBorders>
                  <w:vAlign w:val="center"/>
                </w:tcPr>
                <w:p w14:paraId="44B7034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设立</w:t>
                  </w:r>
                  <w:r>
                    <w:rPr>
                      <w:rFonts w:hint="default" w:ascii="Times New Roman" w:hAnsi="Times New Roman" w:eastAsia="宋体" w:cs="Times New Roman"/>
                      <w:color w:val="auto"/>
                      <w:kern w:val="0"/>
                      <w:sz w:val="21"/>
                      <w:szCs w:val="21"/>
                      <w:highlight w:val="none"/>
                      <w:lang w:val="en-US" w:eastAsia="zh-CN" w:bidi="ar-SA"/>
                    </w:rPr>
                    <w:t>应急事故专门记录，建立档案和报告制度，设专门部门负责管理。</w:t>
                  </w:r>
                </w:p>
              </w:tc>
            </w:tr>
            <w:tr w14:paraId="2ABC88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tcBorders>
                    <w:tl2br w:val="nil"/>
                    <w:tr2bl w:val="nil"/>
                  </w:tcBorders>
                  <w:vAlign w:val="center"/>
                </w:tcPr>
                <w:p w14:paraId="09A7AB21">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13</w:t>
                  </w:r>
                </w:p>
              </w:tc>
              <w:tc>
                <w:tcPr>
                  <w:tcW w:w="1776" w:type="dxa"/>
                  <w:tcBorders>
                    <w:tl2br w:val="nil"/>
                    <w:tr2bl w:val="nil"/>
                  </w:tcBorders>
                  <w:vAlign w:val="center"/>
                </w:tcPr>
                <w:p w14:paraId="42025A79">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附件</w:t>
                  </w:r>
                </w:p>
              </w:tc>
              <w:tc>
                <w:tcPr>
                  <w:tcW w:w="5550" w:type="dxa"/>
                  <w:tcBorders>
                    <w:tl2br w:val="nil"/>
                    <w:tr2bl w:val="nil"/>
                  </w:tcBorders>
                  <w:vAlign w:val="center"/>
                </w:tcPr>
                <w:p w14:paraId="3446FF24">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准备并形成环境风险事故应急处理有关的附件材料</w:t>
                  </w:r>
                  <w:r>
                    <w:rPr>
                      <w:rFonts w:hint="eastAsia" w:ascii="Times New Roman" w:hAnsi="Times New Roman" w:eastAsia="宋体" w:cs="Times New Roman"/>
                      <w:color w:val="auto"/>
                      <w:kern w:val="0"/>
                      <w:sz w:val="21"/>
                      <w:szCs w:val="21"/>
                      <w:highlight w:val="none"/>
                      <w:lang w:val="en-US" w:eastAsia="zh-CN" w:bidi="ar-SA"/>
                    </w:rPr>
                    <w:t>。</w:t>
                  </w:r>
                </w:p>
              </w:tc>
            </w:tr>
          </w:tbl>
          <w:p w14:paraId="2B9DCDC4">
            <w:pPr>
              <w:widowControl w:val="0"/>
              <w:spacing w:line="480" w:lineRule="exact"/>
              <w:ind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5</w:t>
            </w:r>
            <w:r>
              <w:rPr>
                <w:rFonts w:hint="eastAsia"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eastAsia="宋体" w:cs="Times New Roman"/>
                <w:b w:val="0"/>
                <w:bCs w:val="0"/>
                <w:color w:val="auto"/>
                <w:kern w:val="2"/>
                <w:sz w:val="24"/>
                <w:szCs w:val="24"/>
                <w:highlight w:val="none"/>
                <w:lang w:val="en-US" w:eastAsia="zh-CN" w:bidi="ar-SA"/>
              </w:rPr>
              <w:t>环境风险评价小结</w:t>
            </w:r>
          </w:p>
          <w:p w14:paraId="1F728E24">
            <w:pPr>
              <w:widowControl w:val="0"/>
              <w:spacing w:line="480" w:lineRule="exact"/>
              <w:ind w:firstLine="480" w:firstLineChars="200"/>
              <w:jc w:val="both"/>
              <w:rPr>
                <w:rFonts w:hint="default" w:ascii="Times New Roman" w:hAnsi="Times New Roman" w:eastAsia="宋体" w:cs="Times New Roman"/>
                <w:b w:val="0"/>
                <w:bCs w:val="0"/>
                <w:color w:val="auto"/>
                <w:kern w:val="2"/>
                <w:sz w:val="24"/>
                <w:szCs w:val="24"/>
                <w:highlight w:val="none"/>
                <w:lang w:val="en-US" w:eastAsia="zh-CN" w:bidi="ar-SA"/>
              </w:rPr>
            </w:pPr>
            <w:r>
              <w:rPr>
                <w:rFonts w:hint="default" w:ascii="Times New Roman" w:hAnsi="Times New Roman" w:eastAsia="宋体" w:cs="Times New Roman"/>
                <w:b w:val="0"/>
                <w:bCs w:val="0"/>
                <w:color w:val="auto"/>
                <w:kern w:val="2"/>
                <w:sz w:val="24"/>
                <w:szCs w:val="24"/>
                <w:highlight w:val="none"/>
                <w:lang w:val="en-US" w:eastAsia="zh-CN" w:bidi="ar-SA"/>
              </w:rPr>
              <w:t>本次评价通过对项目可能发生的环境风险事故进行定性分析，在采取</w:t>
            </w:r>
            <w:r>
              <w:rPr>
                <w:rFonts w:hint="eastAsia" w:ascii="Times New Roman" w:hAnsi="Times New Roman" w:eastAsia="宋体" w:cs="Times New Roman"/>
                <w:b w:val="0"/>
                <w:bCs w:val="0"/>
                <w:color w:val="auto"/>
                <w:kern w:val="2"/>
                <w:sz w:val="24"/>
                <w:szCs w:val="24"/>
                <w:highlight w:val="none"/>
                <w:lang w:val="en-US" w:eastAsia="zh-CN" w:bidi="ar-SA"/>
              </w:rPr>
              <w:t>应急</w:t>
            </w:r>
            <w:r>
              <w:rPr>
                <w:rFonts w:hint="default" w:ascii="Times New Roman" w:hAnsi="Times New Roman" w:eastAsia="宋体" w:cs="Times New Roman"/>
                <w:b w:val="0"/>
                <w:bCs w:val="0"/>
                <w:color w:val="auto"/>
                <w:kern w:val="2"/>
                <w:sz w:val="24"/>
                <w:szCs w:val="24"/>
                <w:highlight w:val="none"/>
                <w:lang w:val="en-US" w:eastAsia="zh-CN" w:bidi="ar-SA"/>
              </w:rPr>
              <w:t>防范措施、综合管理措施、制定风险应急预案等措施后，可将泄漏、火灾等事故对环境的影响减少到最低和可接受范围，避免使项目本身及周边环境遭受损失。</w:t>
            </w:r>
          </w:p>
          <w:p w14:paraId="50527157">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b w:val="0"/>
                <w:bCs w:val="0"/>
                <w:color w:val="auto"/>
                <w:kern w:val="2"/>
                <w:sz w:val="24"/>
                <w:szCs w:val="24"/>
                <w:highlight w:val="none"/>
                <w:lang w:val="en-US" w:eastAsia="zh-CN" w:bidi="ar-SA"/>
              </w:rPr>
              <w:t>因此，在加强对各类风险的管理，做到各项管理措施及要求后，本项目风险处于可接受水平，风险管理措施有效、可靠，从风险角度而言是可行的</w:t>
            </w:r>
            <w:r>
              <w:rPr>
                <w:rFonts w:hint="default" w:ascii="Times New Roman" w:hAnsi="Times New Roman" w:eastAsia="宋体" w:cs="Times New Roman"/>
                <w:color w:val="auto"/>
                <w:sz w:val="24"/>
                <w:szCs w:val="24"/>
                <w:highlight w:val="none"/>
              </w:rPr>
              <w:t>。</w:t>
            </w:r>
          </w:p>
          <w:p w14:paraId="2E510564">
            <w:pPr>
              <w:keepNext w:val="0"/>
              <w:keepLines w:val="0"/>
              <w:pageBreakBefore w:val="0"/>
              <w:widowControl w:val="0"/>
              <w:kinsoku/>
              <w:wordWrap/>
              <w:overflowPunct/>
              <w:topLinePunct w:val="0"/>
              <w:bidi w:val="0"/>
              <w:adjustRightInd w:val="0"/>
              <w:snapToGrid w:val="0"/>
              <w:spacing w:line="480" w:lineRule="exact"/>
              <w:ind w:firstLine="482" w:firstLineChars="200"/>
              <w:textAlignment w:val="auto"/>
              <w:rPr>
                <w:rFonts w:hint="default" w:ascii="Times New Roman" w:hAnsi="Times New Roman" w:eastAsia="宋体" w:cs="Times New Roman"/>
                <w:b/>
                <w:color w:val="auto"/>
                <w:sz w:val="24"/>
                <w:szCs w:val="24"/>
                <w:highlight w:val="none"/>
                <w:lang w:val="en-US" w:eastAsia="zh-CN"/>
              </w:rPr>
            </w:pPr>
            <w:r>
              <w:rPr>
                <w:rFonts w:hint="eastAsia" w:ascii="Times New Roman" w:hAnsi="Times New Roman" w:eastAsia="宋体" w:cs="Times New Roman"/>
                <w:b/>
                <w:color w:val="auto"/>
                <w:sz w:val="24"/>
                <w:szCs w:val="24"/>
                <w:highlight w:val="none"/>
                <w:lang w:val="en-US" w:eastAsia="zh-CN"/>
              </w:rPr>
              <w:t xml:space="preserve">4.11 </w:t>
            </w:r>
            <w:r>
              <w:rPr>
                <w:rFonts w:hint="default" w:ascii="Times New Roman" w:hAnsi="Times New Roman" w:eastAsia="宋体" w:cs="Times New Roman"/>
                <w:b/>
                <w:color w:val="auto"/>
                <w:sz w:val="24"/>
                <w:szCs w:val="24"/>
                <w:highlight w:val="none"/>
                <w:lang w:val="en-US" w:eastAsia="zh-CN"/>
              </w:rPr>
              <w:t>环保投资估算</w:t>
            </w:r>
          </w:p>
          <w:p w14:paraId="22C8055B">
            <w:pPr>
              <w:spacing w:line="480" w:lineRule="exact"/>
              <w:ind w:firstLine="480" w:firstLineChars="200"/>
              <w:jc w:val="both"/>
              <w:rPr>
                <w:rFonts w:hint="default" w:ascii="Times New Roman" w:hAnsi="Times New Roman" w:eastAsia="宋体" w:cs="Times New Roman"/>
                <w:color w:val="auto"/>
                <w:kern w:val="0"/>
                <w:sz w:val="24"/>
                <w:highlight w:val="yellow"/>
              </w:rPr>
            </w:pPr>
            <w:r>
              <w:rPr>
                <w:rFonts w:hint="default" w:ascii="Times New Roman" w:hAnsi="Times New Roman" w:eastAsia="宋体" w:cs="Times New Roman"/>
                <w:color w:val="auto"/>
                <w:kern w:val="0"/>
                <w:sz w:val="24"/>
                <w:highlight w:val="none"/>
              </w:rPr>
              <w:t>本项目总投资</w:t>
            </w:r>
            <w:r>
              <w:rPr>
                <w:rFonts w:hint="eastAsia" w:cs="Times New Roman"/>
                <w:color w:val="auto"/>
                <w:kern w:val="0"/>
                <w:sz w:val="24"/>
                <w:highlight w:val="none"/>
                <w:lang w:val="en-US" w:eastAsia="zh-CN"/>
              </w:rPr>
              <w:t>170</w:t>
            </w:r>
            <w:r>
              <w:rPr>
                <w:rFonts w:hint="default" w:ascii="Times New Roman" w:hAnsi="Times New Roman" w:eastAsia="宋体" w:cs="Times New Roman"/>
                <w:color w:val="auto"/>
                <w:kern w:val="0"/>
                <w:sz w:val="24"/>
                <w:highlight w:val="none"/>
              </w:rPr>
              <w:t>万元</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lang w:val="en-US" w:eastAsia="zh-CN"/>
              </w:rPr>
              <w:t>其中，</w:t>
            </w:r>
            <w:r>
              <w:rPr>
                <w:rFonts w:hint="default" w:ascii="Times New Roman" w:hAnsi="Times New Roman" w:eastAsia="宋体" w:cs="Times New Roman"/>
                <w:color w:val="auto"/>
                <w:kern w:val="0"/>
                <w:sz w:val="24"/>
                <w:highlight w:val="none"/>
              </w:rPr>
              <w:t>环保投资约</w:t>
            </w:r>
            <w:r>
              <w:rPr>
                <w:rFonts w:hint="eastAsia" w:cs="Times New Roman"/>
                <w:color w:val="auto"/>
                <w:kern w:val="0"/>
                <w:sz w:val="24"/>
                <w:highlight w:val="none"/>
                <w:lang w:val="en-US" w:eastAsia="zh-CN"/>
              </w:rPr>
              <w:t>55</w:t>
            </w:r>
            <w:r>
              <w:rPr>
                <w:rFonts w:hint="default" w:ascii="Times New Roman" w:hAnsi="Times New Roman" w:eastAsia="宋体" w:cs="Times New Roman"/>
                <w:color w:val="auto"/>
                <w:kern w:val="0"/>
                <w:sz w:val="24"/>
                <w:highlight w:val="none"/>
              </w:rPr>
              <w:t>万元</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占总投资比例为</w:t>
            </w:r>
            <w:r>
              <w:rPr>
                <w:rFonts w:hint="eastAsia" w:cs="Times New Roman"/>
                <w:color w:val="auto"/>
                <w:kern w:val="0"/>
                <w:sz w:val="24"/>
                <w:highlight w:val="none"/>
                <w:lang w:val="en-US" w:eastAsia="zh-CN"/>
              </w:rPr>
              <w:t>32.35</w:t>
            </w:r>
            <w:r>
              <w:rPr>
                <w:rFonts w:hint="eastAsia" w:ascii="Times New Roman" w:hAnsi="Times New Roman" w:eastAsia="宋体" w:cs="Times New Roman"/>
                <w:color w:val="auto"/>
                <w:kern w:val="0"/>
                <w:sz w:val="24"/>
                <w:highlight w:val="none"/>
                <w:lang w:val="en-US" w:eastAsia="zh-CN"/>
              </w:rPr>
              <w:t>%</w:t>
            </w:r>
            <w:r>
              <w:rPr>
                <w:rFonts w:hint="default" w:ascii="Times New Roman" w:hAnsi="Times New Roman" w:eastAsia="宋体" w:cs="Times New Roman"/>
                <w:color w:val="auto"/>
                <w:kern w:val="0"/>
                <w:sz w:val="24"/>
                <w:highlight w:val="none"/>
              </w:rPr>
              <w:t>。具体见</w:t>
            </w:r>
            <w:r>
              <w:rPr>
                <w:rFonts w:hint="eastAsia" w:cs="Times New Roman"/>
                <w:color w:val="auto"/>
                <w:kern w:val="0"/>
                <w:sz w:val="24"/>
                <w:highlight w:val="none"/>
                <w:lang w:val="en-US" w:eastAsia="zh-CN"/>
              </w:rPr>
              <w:t>下</w:t>
            </w:r>
            <w:r>
              <w:rPr>
                <w:rFonts w:hint="default" w:ascii="Times New Roman" w:hAnsi="Times New Roman" w:eastAsia="宋体" w:cs="Times New Roman"/>
                <w:color w:val="auto"/>
                <w:kern w:val="0"/>
                <w:sz w:val="24"/>
                <w:highlight w:val="none"/>
              </w:rPr>
              <w:t>表。</w:t>
            </w:r>
          </w:p>
          <w:p w14:paraId="3B19F1E3">
            <w:pPr>
              <w:keepNext w:val="0"/>
              <w:keepLines w:val="0"/>
              <w:pageBreakBefore w:val="0"/>
              <w:widowControl w:val="0"/>
              <w:kinsoku/>
              <w:wordWrap/>
              <w:overflowPunct/>
              <w:topLinePunct w:val="0"/>
              <w:autoSpaceDE/>
              <w:autoSpaceDN/>
              <w:bidi w:val="0"/>
              <w:adjustRightInd w:val="0"/>
              <w:snapToGrid w:val="0"/>
              <w:spacing w:line="480" w:lineRule="exact"/>
              <w:ind w:firstLine="0" w:firstLineChars="0"/>
              <w:jc w:val="center"/>
              <w:textAlignment w:val="auto"/>
              <w:rPr>
                <w:rFonts w:hint="default" w:ascii="Times New Roman" w:hAnsi="Times New Roman" w:eastAsia="黑体" w:cs="Times New Roman"/>
                <w:b w:val="0"/>
                <w:bCs w:val="0"/>
                <w:color w:val="auto"/>
                <w:kern w:val="2"/>
                <w:sz w:val="21"/>
                <w:szCs w:val="21"/>
                <w:highlight w:val="yellow"/>
                <w:lang w:val="en-US" w:eastAsia="zh-CN" w:bidi="ar-SA"/>
              </w:rPr>
            </w:pPr>
            <w:r>
              <w:rPr>
                <w:rFonts w:hint="default" w:ascii="Times New Roman" w:hAnsi="Times New Roman" w:eastAsia="黑体" w:cs="Times New Roman"/>
                <w:b w:val="0"/>
                <w:bCs w:val="0"/>
                <w:color w:val="auto"/>
                <w:kern w:val="2"/>
                <w:sz w:val="21"/>
                <w:szCs w:val="21"/>
                <w:highlight w:val="none"/>
                <w:lang w:val="en-US" w:eastAsia="zh-CN" w:bidi="ar-SA"/>
              </w:rPr>
              <w:t>表4</w:t>
            </w:r>
            <w:r>
              <w:rPr>
                <w:rFonts w:hint="eastAsia" w:eastAsia="黑体" w:cs="Times New Roman"/>
                <w:b w:val="0"/>
                <w:bCs w:val="0"/>
                <w:color w:val="auto"/>
                <w:kern w:val="2"/>
                <w:sz w:val="21"/>
                <w:szCs w:val="21"/>
                <w:highlight w:val="none"/>
                <w:lang w:val="en-US" w:eastAsia="zh-CN" w:bidi="ar-SA"/>
              </w:rPr>
              <w:t>.11-1</w:t>
            </w:r>
            <w:r>
              <w:rPr>
                <w:rFonts w:hint="default" w:ascii="Times New Roman" w:hAnsi="Times New Roman" w:eastAsia="黑体" w:cs="Times New Roman"/>
                <w:b w:val="0"/>
                <w:bCs w:val="0"/>
                <w:color w:val="auto"/>
                <w:kern w:val="2"/>
                <w:sz w:val="21"/>
                <w:szCs w:val="21"/>
                <w:highlight w:val="none"/>
                <w:lang w:val="en-US" w:eastAsia="zh-CN" w:bidi="ar-SA"/>
              </w:rPr>
              <w:t xml:space="preserve">  环保投资估算一览表</w:t>
            </w:r>
          </w:p>
          <w:tbl>
            <w:tblPr>
              <w:tblStyle w:val="25"/>
              <w:tblW w:w="4936" w:type="pct"/>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2"/>
              <w:gridCol w:w="705"/>
              <w:gridCol w:w="1766"/>
              <w:gridCol w:w="3795"/>
              <w:gridCol w:w="1016"/>
            </w:tblGrid>
            <w:tr w14:paraId="250ED2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5" w:hRule="atLeast"/>
              </w:trPr>
              <w:tc>
                <w:tcPr>
                  <w:tcW w:w="612" w:type="dxa"/>
                  <w:tcBorders>
                    <w:tl2br w:val="nil"/>
                    <w:tr2bl w:val="nil"/>
                  </w:tcBorders>
                  <w:vAlign w:val="center"/>
                </w:tcPr>
                <w:p w14:paraId="30C1844E">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项目</w:t>
                  </w:r>
                </w:p>
              </w:tc>
              <w:tc>
                <w:tcPr>
                  <w:tcW w:w="2471" w:type="dxa"/>
                  <w:gridSpan w:val="2"/>
                  <w:tcBorders>
                    <w:tl2br w:val="nil"/>
                    <w:tr2bl w:val="nil"/>
                  </w:tcBorders>
                  <w:vAlign w:val="center"/>
                </w:tcPr>
                <w:p w14:paraId="3C25DEB4">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b w:val="0"/>
                      <w:bCs w:val="0"/>
                      <w:color w:val="auto"/>
                      <w:sz w:val="21"/>
                    </w:rPr>
                  </w:pPr>
                  <w:r>
                    <w:rPr>
                      <w:rFonts w:hint="default" w:ascii="Times New Roman" w:hAnsi="Times New Roman" w:eastAsia="宋体" w:cs="Times New Roman"/>
                      <w:b w:val="0"/>
                      <w:bCs w:val="0"/>
                      <w:color w:val="auto"/>
                      <w:sz w:val="21"/>
                    </w:rPr>
                    <w:t>内容</w:t>
                  </w:r>
                </w:p>
              </w:tc>
              <w:tc>
                <w:tcPr>
                  <w:tcW w:w="3795" w:type="dxa"/>
                  <w:tcBorders>
                    <w:tl2br w:val="nil"/>
                    <w:tr2bl w:val="nil"/>
                  </w:tcBorders>
                  <w:vAlign w:val="center"/>
                </w:tcPr>
                <w:p w14:paraId="3CA17C31">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b w:val="0"/>
                      <w:bCs w:val="0"/>
                      <w:color w:val="auto"/>
                      <w:sz w:val="21"/>
                    </w:rPr>
                  </w:pPr>
                  <w:r>
                    <w:rPr>
                      <w:rFonts w:hint="default" w:ascii="Times New Roman" w:hAnsi="Times New Roman" w:eastAsia="宋体" w:cs="Times New Roman"/>
                      <w:b w:val="0"/>
                      <w:bCs w:val="0"/>
                      <w:color w:val="auto"/>
                      <w:sz w:val="21"/>
                    </w:rPr>
                    <w:t>环保措施</w:t>
                  </w:r>
                </w:p>
              </w:tc>
              <w:tc>
                <w:tcPr>
                  <w:tcW w:w="1016" w:type="dxa"/>
                  <w:tcBorders>
                    <w:tl2br w:val="nil"/>
                    <w:tr2bl w:val="nil"/>
                  </w:tcBorders>
                  <w:vAlign w:val="center"/>
                </w:tcPr>
                <w:p w14:paraId="4C461119">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b w:val="0"/>
                      <w:bCs w:val="0"/>
                      <w:color w:val="auto"/>
                      <w:sz w:val="21"/>
                    </w:rPr>
                  </w:pPr>
                  <w:r>
                    <w:rPr>
                      <w:rFonts w:hint="default" w:ascii="Times New Roman" w:hAnsi="Times New Roman" w:eastAsia="宋体" w:cs="Times New Roman"/>
                      <w:b w:val="0"/>
                      <w:bCs w:val="0"/>
                      <w:color w:val="auto"/>
                      <w:sz w:val="21"/>
                    </w:rPr>
                    <w:t>总额</w:t>
                  </w:r>
                </w:p>
                <w:p w14:paraId="407372DF">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b w:val="0"/>
                      <w:bCs w:val="0"/>
                      <w:color w:val="auto"/>
                      <w:sz w:val="21"/>
                    </w:rPr>
                  </w:pPr>
                  <w:r>
                    <w:rPr>
                      <w:rFonts w:hint="default" w:ascii="Times New Roman" w:hAnsi="Times New Roman" w:eastAsia="宋体" w:cs="Times New Roman"/>
                      <w:b w:val="0"/>
                      <w:bCs w:val="0"/>
                      <w:color w:val="auto"/>
                      <w:sz w:val="21"/>
                    </w:rPr>
                    <w:t>/万元</w:t>
                  </w:r>
                </w:p>
              </w:tc>
            </w:tr>
            <w:tr w14:paraId="040D6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5" w:hRule="atLeast"/>
              </w:trPr>
              <w:tc>
                <w:tcPr>
                  <w:tcW w:w="612" w:type="dxa"/>
                  <w:vMerge w:val="restart"/>
                  <w:tcBorders>
                    <w:tl2br w:val="nil"/>
                    <w:tr2bl w:val="nil"/>
                  </w:tcBorders>
                  <w:vAlign w:val="center"/>
                </w:tcPr>
                <w:p w14:paraId="1D8A72AF">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color w:val="auto"/>
                      <w:sz w:val="21"/>
                      <w:szCs w:val="21"/>
                    </w:rPr>
                    <w:t>环保工程</w:t>
                  </w:r>
                </w:p>
              </w:tc>
              <w:tc>
                <w:tcPr>
                  <w:tcW w:w="705" w:type="dxa"/>
                  <w:tcBorders>
                    <w:tl2br w:val="nil"/>
                    <w:tr2bl w:val="nil"/>
                  </w:tcBorders>
                  <w:vAlign w:val="center"/>
                </w:tcPr>
                <w:p w14:paraId="66F9D084">
                  <w:pPr>
                    <w:pStyle w:val="31"/>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废气</w:t>
                  </w:r>
                </w:p>
              </w:tc>
              <w:tc>
                <w:tcPr>
                  <w:tcW w:w="1766" w:type="dxa"/>
                  <w:tcBorders>
                    <w:tl2br w:val="nil"/>
                    <w:tr2bl w:val="nil"/>
                  </w:tcBorders>
                  <w:shd w:val="clear" w:color="auto" w:fill="auto"/>
                  <w:vAlign w:val="center"/>
                </w:tcPr>
                <w:p w14:paraId="4E34E96F">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锅炉烟气</w:t>
                  </w:r>
                </w:p>
              </w:tc>
              <w:tc>
                <w:tcPr>
                  <w:tcW w:w="3795" w:type="dxa"/>
                  <w:tcBorders>
                    <w:tl2br w:val="nil"/>
                    <w:tr2bl w:val="nil"/>
                  </w:tcBorders>
                  <w:shd w:val="clear" w:color="auto" w:fill="auto"/>
                  <w:vAlign w:val="center"/>
                </w:tcPr>
                <w:p w14:paraId="5084676C">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本项目锅炉采用低氮燃烧+烟气再循环技术，废气经1根</w:t>
                  </w:r>
                  <w:r>
                    <w:rPr>
                      <w:rFonts w:hint="eastAsia" w:ascii="Times New Roman" w:hAnsi="Times New Roman" w:cs="Times New Roman"/>
                      <w:color w:val="auto"/>
                      <w:kern w:val="2"/>
                      <w:sz w:val="21"/>
                      <w:szCs w:val="21"/>
                      <w:lang w:val="en-US" w:eastAsia="zh-CN" w:bidi="ar-SA"/>
                    </w:rPr>
                    <w:t>22</w:t>
                  </w:r>
                  <w:r>
                    <w:rPr>
                      <w:rFonts w:hint="default" w:ascii="Times New Roman" w:hAnsi="Times New Roman" w:eastAsia="宋体" w:cs="Times New Roman"/>
                      <w:color w:val="auto"/>
                      <w:kern w:val="2"/>
                      <w:sz w:val="21"/>
                      <w:szCs w:val="21"/>
                      <w:lang w:val="en-US" w:eastAsia="zh-CN" w:bidi="ar-SA"/>
                    </w:rPr>
                    <w:t>m高排气筒排放</w:t>
                  </w:r>
                </w:p>
              </w:tc>
              <w:tc>
                <w:tcPr>
                  <w:tcW w:w="1016" w:type="dxa"/>
                  <w:tcBorders>
                    <w:tl2br w:val="nil"/>
                    <w:tr2bl w:val="nil"/>
                  </w:tcBorders>
                  <w:vAlign w:val="center"/>
                </w:tcPr>
                <w:p w14:paraId="274A34E8">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w:t>
                  </w:r>
                </w:p>
              </w:tc>
            </w:tr>
            <w:tr w14:paraId="09FAB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9" w:hRule="atLeast"/>
              </w:trPr>
              <w:tc>
                <w:tcPr>
                  <w:tcW w:w="612" w:type="dxa"/>
                  <w:vMerge w:val="continue"/>
                  <w:tcBorders>
                    <w:tl2br w:val="nil"/>
                    <w:tr2bl w:val="nil"/>
                  </w:tcBorders>
                  <w:vAlign w:val="center"/>
                </w:tcPr>
                <w:p w14:paraId="66833A23">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vMerge w:val="restart"/>
                  <w:tcBorders>
                    <w:tl2br w:val="nil"/>
                    <w:tr2bl w:val="nil"/>
                  </w:tcBorders>
                  <w:vAlign w:val="center"/>
                </w:tcPr>
                <w:p w14:paraId="02770DDE">
                  <w:pPr>
                    <w:pStyle w:val="31"/>
                    <w:keepNext w:val="0"/>
                    <w:keepLines w:val="0"/>
                    <w:pageBreakBefore w:val="0"/>
                    <w:kinsoku/>
                    <w:wordWrap/>
                    <w:overflowPunct/>
                    <w:topLinePunct w:val="0"/>
                    <w:bidi w:val="0"/>
                    <w:adjustRightInd w:val="0"/>
                    <w:snapToGrid w:val="0"/>
                    <w:spacing w:line="300" w:lineRule="exact"/>
                    <w:ind w:firstLine="0" w:firstLineChars="0"/>
                    <w:jc w:val="center"/>
                    <w:rPr>
                      <w:rFonts w:hint="eastAsia"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废水</w:t>
                  </w:r>
                </w:p>
              </w:tc>
              <w:tc>
                <w:tcPr>
                  <w:tcW w:w="1766" w:type="dxa"/>
                  <w:tcBorders>
                    <w:tl2br w:val="nil"/>
                    <w:tr2bl w:val="nil"/>
                  </w:tcBorders>
                  <w:shd w:val="clear" w:color="auto" w:fill="auto"/>
                  <w:vAlign w:val="center"/>
                </w:tcPr>
                <w:p w14:paraId="53FF2DC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锅炉排污水</w:t>
                  </w:r>
                </w:p>
              </w:tc>
              <w:tc>
                <w:tcPr>
                  <w:tcW w:w="3795" w:type="dxa"/>
                  <w:vMerge w:val="restart"/>
                  <w:tcBorders>
                    <w:tl2br w:val="nil"/>
                    <w:tr2bl w:val="nil"/>
                  </w:tcBorders>
                  <w:shd w:val="clear" w:color="auto" w:fill="auto"/>
                  <w:vAlign w:val="center"/>
                </w:tcPr>
                <w:p w14:paraId="53AA18A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经现有污水管道收集</w:t>
                  </w:r>
                  <w:r>
                    <w:rPr>
                      <w:rFonts w:hint="eastAsia" w:ascii="Times New Roman" w:hAnsi="Times New Roman" w:cs="Times New Roman"/>
                      <w:color w:val="auto"/>
                      <w:kern w:val="2"/>
                      <w:sz w:val="21"/>
                      <w:szCs w:val="21"/>
                      <w:highlight w:val="none"/>
                      <w:lang w:val="en-US" w:eastAsia="zh-CN" w:bidi="ar-SA"/>
                    </w:rPr>
                    <w:t>进入现有矿井水处理站进行处理</w:t>
                  </w:r>
                  <w:r>
                    <w:rPr>
                      <w:rFonts w:hint="default" w:ascii="Times New Roman" w:hAnsi="Times New Roman" w:eastAsia="宋体" w:cs="Times New Roman"/>
                      <w:color w:val="auto"/>
                      <w:kern w:val="2"/>
                      <w:sz w:val="21"/>
                      <w:szCs w:val="21"/>
                      <w:highlight w:val="none"/>
                      <w:lang w:val="en-US" w:eastAsia="zh-CN" w:bidi="ar-SA"/>
                    </w:rPr>
                    <w:t>后，优先回用</w:t>
                  </w:r>
                </w:p>
              </w:tc>
              <w:tc>
                <w:tcPr>
                  <w:tcW w:w="1016" w:type="dxa"/>
                  <w:tcBorders>
                    <w:tl2br w:val="nil"/>
                    <w:tr2bl w:val="nil"/>
                  </w:tcBorders>
                  <w:vAlign w:val="center"/>
                </w:tcPr>
                <w:p w14:paraId="1CEC75A7">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cs="Times New Roman"/>
                      <w:color w:val="auto"/>
                      <w:sz w:val="21"/>
                      <w:lang w:val="en-US" w:eastAsia="zh-CN"/>
                    </w:rPr>
                    <w:t>/</w:t>
                  </w:r>
                </w:p>
              </w:tc>
            </w:tr>
            <w:tr w14:paraId="334E6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612" w:type="dxa"/>
                  <w:vMerge w:val="continue"/>
                  <w:tcBorders>
                    <w:tl2br w:val="nil"/>
                    <w:tr2bl w:val="nil"/>
                  </w:tcBorders>
                  <w:vAlign w:val="center"/>
                </w:tcPr>
                <w:p w14:paraId="6E0353A9">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vMerge w:val="continue"/>
                  <w:tcBorders>
                    <w:tl2br w:val="nil"/>
                    <w:tr2bl w:val="nil"/>
                  </w:tcBorders>
                  <w:vAlign w:val="center"/>
                </w:tcPr>
                <w:p w14:paraId="4361D486">
                  <w:pPr>
                    <w:pStyle w:val="31"/>
                    <w:keepNext w:val="0"/>
                    <w:keepLines w:val="0"/>
                    <w:pageBreakBefore w:val="0"/>
                    <w:kinsoku/>
                    <w:wordWrap/>
                    <w:overflowPunct/>
                    <w:topLinePunct w:val="0"/>
                    <w:bidi w:val="0"/>
                    <w:adjustRightInd w:val="0"/>
                    <w:snapToGrid w:val="0"/>
                    <w:spacing w:line="300" w:lineRule="exact"/>
                    <w:ind w:firstLine="0" w:firstLineChars="0"/>
                    <w:jc w:val="center"/>
                    <w:rPr>
                      <w:rFonts w:hint="eastAsia" w:ascii="Times New Roman" w:hAnsi="Times New Roman" w:eastAsia="宋体" w:cs="Times New Roman"/>
                      <w:color w:val="auto"/>
                      <w:sz w:val="21"/>
                      <w:lang w:val="en-US" w:eastAsia="zh-CN"/>
                    </w:rPr>
                  </w:pPr>
                </w:p>
              </w:tc>
              <w:tc>
                <w:tcPr>
                  <w:tcW w:w="1766" w:type="dxa"/>
                  <w:tcBorders>
                    <w:tl2br w:val="nil"/>
                    <w:tr2bl w:val="nil"/>
                  </w:tcBorders>
                  <w:shd w:val="clear" w:color="auto" w:fill="auto"/>
                  <w:vAlign w:val="center"/>
                </w:tcPr>
                <w:p w14:paraId="23BF1E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highlight w:val="none"/>
                      <w:lang w:val="en-US" w:eastAsia="zh-CN" w:bidi="ar-SA"/>
                    </w:rPr>
                    <w:t>软化水系统排水</w:t>
                  </w:r>
                </w:p>
              </w:tc>
              <w:tc>
                <w:tcPr>
                  <w:tcW w:w="3795" w:type="dxa"/>
                  <w:vMerge w:val="continue"/>
                  <w:tcBorders>
                    <w:tl2br w:val="nil"/>
                    <w:tr2bl w:val="nil"/>
                  </w:tcBorders>
                  <w:shd w:val="clear" w:color="auto" w:fill="auto"/>
                  <w:vAlign w:val="center"/>
                </w:tcPr>
                <w:p w14:paraId="28B8123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none"/>
                      <w:lang w:val="en-US" w:eastAsia="zh-CN" w:bidi="ar-SA"/>
                    </w:rPr>
                  </w:pPr>
                </w:p>
              </w:tc>
              <w:tc>
                <w:tcPr>
                  <w:tcW w:w="1016" w:type="dxa"/>
                  <w:tcBorders>
                    <w:tl2br w:val="nil"/>
                    <w:tr2bl w:val="nil"/>
                  </w:tcBorders>
                  <w:vAlign w:val="center"/>
                </w:tcPr>
                <w:p w14:paraId="38E15A36">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cs="Times New Roman"/>
                      <w:color w:val="auto"/>
                      <w:sz w:val="21"/>
                      <w:lang w:val="en-US" w:eastAsia="zh-CN"/>
                    </w:rPr>
                    <w:t>/</w:t>
                  </w:r>
                </w:p>
              </w:tc>
            </w:tr>
            <w:tr w14:paraId="3134D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612" w:type="dxa"/>
                  <w:vMerge w:val="continue"/>
                  <w:tcBorders>
                    <w:tl2br w:val="nil"/>
                    <w:tr2bl w:val="nil"/>
                  </w:tcBorders>
                  <w:vAlign w:val="center"/>
                </w:tcPr>
                <w:p w14:paraId="29589737">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tcBorders>
                    <w:tl2br w:val="nil"/>
                    <w:tr2bl w:val="nil"/>
                  </w:tcBorders>
                  <w:vAlign w:val="center"/>
                </w:tcPr>
                <w:p w14:paraId="5135ED66">
                  <w:pPr>
                    <w:pStyle w:val="31"/>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rPr>
                    <w:t>噪声</w:t>
                  </w:r>
                </w:p>
              </w:tc>
              <w:tc>
                <w:tcPr>
                  <w:tcW w:w="1766" w:type="dxa"/>
                  <w:tcBorders>
                    <w:tl2br w:val="nil"/>
                    <w:tr2bl w:val="nil"/>
                  </w:tcBorders>
                  <w:vAlign w:val="center"/>
                </w:tcPr>
                <w:p w14:paraId="0EA52B77">
                  <w:pPr>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sz w:val="21"/>
                      <w:szCs w:val="21"/>
                    </w:rPr>
                    <w:t>产噪设备</w:t>
                  </w:r>
                </w:p>
              </w:tc>
              <w:tc>
                <w:tcPr>
                  <w:tcW w:w="3795" w:type="dxa"/>
                  <w:tcBorders>
                    <w:tl2br w:val="nil"/>
                    <w:tr2bl w:val="nil"/>
                  </w:tcBorders>
                  <w:vAlign w:val="center"/>
                </w:tcPr>
                <w:p w14:paraId="5D27F1FE">
                  <w:pPr>
                    <w:pStyle w:val="87"/>
                    <w:keepNext w:val="0"/>
                    <w:keepLines w:val="0"/>
                    <w:pageBreakBefore w:val="0"/>
                    <w:widowControl w:val="0"/>
                    <w:kinsoku/>
                    <w:wordWrap/>
                    <w:overflowPunct/>
                    <w:topLinePunct w:val="0"/>
                    <w:autoSpaceDE/>
                    <w:autoSpaceDN/>
                    <w:bidi w:val="0"/>
                    <w:adjustRightInd w:val="0"/>
                    <w:snapToGrid w:val="0"/>
                    <w:spacing w:line="300" w:lineRule="exact"/>
                    <w:ind w:firstLine="0" w:firstLineChars="0"/>
                    <w:jc w:val="center"/>
                    <w:textAlignment w:val="auto"/>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低噪声设备；减振、厂房隔声；定期维修、检修</w:t>
                  </w:r>
                </w:p>
              </w:tc>
              <w:tc>
                <w:tcPr>
                  <w:tcW w:w="1016" w:type="dxa"/>
                  <w:tcBorders>
                    <w:tl2br w:val="nil"/>
                    <w:tr2bl w:val="nil"/>
                  </w:tcBorders>
                  <w:vAlign w:val="center"/>
                </w:tcPr>
                <w:p w14:paraId="4D79F7CB">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ascii="Times New Roman" w:hAnsi="Times New Roman" w:cs="Times New Roman"/>
                      <w:color w:val="auto"/>
                      <w:szCs w:val="21"/>
                      <w:highlight w:val="none"/>
                      <w:lang w:val="en-US" w:eastAsia="zh-CN"/>
                    </w:rPr>
                    <w:t>计入工程投资</w:t>
                  </w:r>
                </w:p>
              </w:tc>
            </w:tr>
            <w:tr w14:paraId="0AAC0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612" w:type="dxa"/>
                  <w:vMerge w:val="continue"/>
                  <w:tcBorders>
                    <w:tl2br w:val="nil"/>
                    <w:tr2bl w:val="nil"/>
                  </w:tcBorders>
                  <w:vAlign w:val="center"/>
                </w:tcPr>
                <w:p w14:paraId="20BDEF37">
                  <w:pPr>
                    <w:pStyle w:val="19"/>
                    <w:keepNext w:val="0"/>
                    <w:keepLines w:val="0"/>
                    <w:pageBreakBefore w:val="0"/>
                    <w:kinsoku/>
                    <w:wordWrap/>
                    <w:overflowPunct/>
                    <w:topLinePunct w:val="0"/>
                    <w:bidi w:val="0"/>
                    <w:adjustRightInd w:val="0"/>
                    <w:snapToGrid w:val="0"/>
                    <w:spacing w:before="0" w:beforeAutospacing="0" w:after="0" w:afterAutospacing="0" w:line="300" w:lineRule="exact"/>
                    <w:ind w:firstLine="0" w:firstLineChars="0"/>
                    <w:contextualSpacing/>
                    <w:jc w:val="center"/>
                    <w:rPr>
                      <w:rFonts w:hint="default" w:ascii="Times New Roman" w:hAnsi="Times New Roman" w:eastAsia="宋体" w:cs="Times New Roman"/>
                      <w:b/>
                      <w:bCs/>
                      <w:color w:val="auto"/>
                      <w:sz w:val="21"/>
                      <w:szCs w:val="21"/>
                    </w:rPr>
                  </w:pPr>
                </w:p>
              </w:tc>
              <w:tc>
                <w:tcPr>
                  <w:tcW w:w="705" w:type="dxa"/>
                  <w:tcBorders>
                    <w:tl2br w:val="nil"/>
                    <w:tr2bl w:val="nil"/>
                  </w:tcBorders>
                  <w:vAlign w:val="center"/>
                </w:tcPr>
                <w:p w14:paraId="0C0924C3">
                  <w:pPr>
                    <w:pStyle w:val="31"/>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sz w:val="21"/>
                    </w:rPr>
                  </w:pPr>
                  <w:r>
                    <w:rPr>
                      <w:rFonts w:hint="default" w:ascii="Times New Roman" w:hAnsi="Times New Roman" w:eastAsia="宋体" w:cs="Times New Roman"/>
                      <w:color w:val="auto"/>
                      <w:sz w:val="21"/>
                    </w:rPr>
                    <w:t>固废</w:t>
                  </w:r>
                </w:p>
              </w:tc>
              <w:tc>
                <w:tcPr>
                  <w:tcW w:w="1766" w:type="dxa"/>
                  <w:tcBorders>
                    <w:tl2br w:val="nil"/>
                    <w:tr2bl w:val="nil"/>
                  </w:tcBorders>
                  <w:shd w:val="clear" w:color="auto" w:fill="auto"/>
                  <w:vAlign w:val="center"/>
                </w:tcPr>
                <w:p w14:paraId="170B069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废离子交换树脂</w:t>
                  </w:r>
                </w:p>
              </w:tc>
              <w:tc>
                <w:tcPr>
                  <w:tcW w:w="3795" w:type="dxa"/>
                  <w:tcBorders>
                    <w:tl2br w:val="nil"/>
                    <w:tr2bl w:val="nil"/>
                  </w:tcBorders>
                  <w:shd w:val="clear" w:color="auto" w:fill="auto"/>
                  <w:vAlign w:val="center"/>
                </w:tcPr>
                <w:p w14:paraId="334C7B35">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由厂家定期更换后回收</w:t>
                  </w:r>
                </w:p>
              </w:tc>
              <w:tc>
                <w:tcPr>
                  <w:tcW w:w="1016" w:type="dxa"/>
                  <w:tcBorders>
                    <w:tl2br w:val="nil"/>
                    <w:tr2bl w:val="nil"/>
                  </w:tcBorders>
                  <w:vAlign w:val="center"/>
                </w:tcPr>
                <w:p w14:paraId="5A89C542">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ascii="Times New Roman" w:hAnsi="Times New Roman" w:eastAsia="宋体" w:cs="Times New Roman"/>
                      <w:color w:val="auto"/>
                      <w:sz w:val="21"/>
                      <w:lang w:val="en-US" w:eastAsia="zh-CN"/>
                    </w:rPr>
                    <w:t>/</w:t>
                  </w:r>
                </w:p>
              </w:tc>
            </w:tr>
            <w:tr w14:paraId="55B22B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6878" w:type="dxa"/>
                  <w:gridSpan w:val="4"/>
                  <w:tcBorders>
                    <w:tl2br w:val="nil"/>
                    <w:tr2bl w:val="nil"/>
                  </w:tcBorders>
                  <w:vAlign w:val="center"/>
                </w:tcPr>
                <w:p w14:paraId="4E300CEF">
                  <w:pPr>
                    <w:pStyle w:val="31"/>
                    <w:keepNext w:val="0"/>
                    <w:keepLines w:val="0"/>
                    <w:pageBreakBefore w:val="0"/>
                    <w:kinsoku/>
                    <w:wordWrap/>
                    <w:overflowPunct/>
                    <w:topLinePunct w:val="0"/>
                    <w:bidi w:val="0"/>
                    <w:adjustRightInd w:val="0"/>
                    <w:snapToGrid w:val="0"/>
                    <w:spacing w:line="300" w:lineRule="exact"/>
                    <w:ind w:firstLine="0" w:firstLineChars="0"/>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highlight w:val="none"/>
                    </w:rPr>
                    <w:t>合计</w:t>
                  </w:r>
                </w:p>
              </w:tc>
              <w:tc>
                <w:tcPr>
                  <w:tcW w:w="1016" w:type="dxa"/>
                  <w:tcBorders>
                    <w:tl2br w:val="nil"/>
                    <w:tr2bl w:val="nil"/>
                  </w:tcBorders>
                  <w:vAlign w:val="center"/>
                </w:tcPr>
                <w:p w14:paraId="2B4BEA2A">
                  <w:pPr>
                    <w:keepNext w:val="0"/>
                    <w:keepLines w:val="0"/>
                    <w:pageBreakBefore w:val="0"/>
                    <w:kinsoku/>
                    <w:wordWrap/>
                    <w:overflowPunct/>
                    <w:topLinePunct w:val="0"/>
                    <w:bidi w:val="0"/>
                    <w:adjustRightInd w:val="0"/>
                    <w:snapToGrid w:val="0"/>
                    <w:spacing w:line="300" w:lineRule="exact"/>
                    <w:ind w:firstLine="0" w:firstLineChars="0"/>
                    <w:jc w:val="center"/>
                    <w:textAlignment w:val="baseline"/>
                    <w:rPr>
                      <w:rFonts w:hint="default" w:ascii="Times New Roman" w:hAnsi="Times New Roman" w:eastAsia="宋体" w:cs="Times New Roman"/>
                      <w:color w:val="auto"/>
                      <w:sz w:val="21"/>
                      <w:lang w:val="en-US" w:eastAsia="zh-CN"/>
                    </w:rPr>
                  </w:pPr>
                  <w:r>
                    <w:rPr>
                      <w:rFonts w:hint="eastAsia" w:cs="Times New Roman"/>
                      <w:color w:val="auto"/>
                      <w:sz w:val="21"/>
                      <w:lang w:val="en-US" w:eastAsia="zh-CN"/>
                    </w:rPr>
                    <w:t>55</w:t>
                  </w:r>
                </w:p>
              </w:tc>
            </w:tr>
          </w:tbl>
          <w:p w14:paraId="5E76CC66">
            <w:pPr>
              <w:rPr>
                <w:rFonts w:hint="eastAsia"/>
                <w:color w:val="auto"/>
                <w:highlight w:val="none"/>
                <w:vertAlign w:val="baseline"/>
                <w:lang w:eastAsia="zh-CN"/>
              </w:rPr>
            </w:pPr>
          </w:p>
          <w:p w14:paraId="04282009">
            <w:pPr>
              <w:rPr>
                <w:rFonts w:hint="default" w:eastAsia="宋体"/>
                <w:color w:val="auto"/>
                <w:highlight w:val="none"/>
                <w:vertAlign w:val="baseline"/>
                <w:lang w:val="en-US" w:eastAsia="zh-CN"/>
              </w:rPr>
            </w:pPr>
          </w:p>
          <w:p w14:paraId="7360913B">
            <w:pPr>
              <w:rPr>
                <w:rFonts w:hint="default" w:eastAsia="宋体"/>
                <w:color w:val="auto"/>
                <w:highlight w:val="none"/>
                <w:vertAlign w:val="baseline"/>
                <w:lang w:val="en-US" w:eastAsia="zh-CN"/>
              </w:rPr>
            </w:pPr>
          </w:p>
          <w:p w14:paraId="2A2D5053">
            <w:pPr>
              <w:rPr>
                <w:rFonts w:hint="default" w:eastAsia="宋体"/>
                <w:color w:val="auto"/>
                <w:highlight w:val="none"/>
                <w:vertAlign w:val="baseline"/>
                <w:lang w:val="en-US" w:eastAsia="zh-CN"/>
              </w:rPr>
            </w:pPr>
          </w:p>
          <w:p w14:paraId="04C5B230">
            <w:pPr>
              <w:rPr>
                <w:rFonts w:hint="default" w:eastAsia="宋体"/>
                <w:color w:val="auto"/>
                <w:highlight w:val="none"/>
                <w:vertAlign w:val="baseline"/>
                <w:lang w:val="en-US" w:eastAsia="zh-CN"/>
              </w:rPr>
            </w:pPr>
          </w:p>
          <w:p w14:paraId="05381566">
            <w:pPr>
              <w:rPr>
                <w:rFonts w:hint="default" w:eastAsia="宋体"/>
                <w:color w:val="auto"/>
                <w:highlight w:val="none"/>
                <w:vertAlign w:val="baseline"/>
                <w:lang w:val="en-US" w:eastAsia="zh-CN"/>
              </w:rPr>
            </w:pPr>
          </w:p>
          <w:p w14:paraId="0063D272">
            <w:pPr>
              <w:rPr>
                <w:rFonts w:hint="default" w:eastAsia="宋体"/>
                <w:color w:val="auto"/>
                <w:highlight w:val="none"/>
                <w:vertAlign w:val="baseline"/>
                <w:lang w:val="en-US" w:eastAsia="zh-CN"/>
              </w:rPr>
            </w:pPr>
          </w:p>
          <w:p w14:paraId="5C4C33F2">
            <w:pPr>
              <w:rPr>
                <w:rFonts w:hint="default" w:eastAsia="宋体"/>
                <w:color w:val="auto"/>
                <w:highlight w:val="none"/>
                <w:vertAlign w:val="baseline"/>
                <w:lang w:val="en-US" w:eastAsia="zh-CN"/>
              </w:rPr>
            </w:pPr>
          </w:p>
          <w:p w14:paraId="457B6D04">
            <w:pPr>
              <w:rPr>
                <w:rFonts w:hint="default" w:eastAsia="宋体"/>
                <w:color w:val="auto"/>
                <w:highlight w:val="none"/>
                <w:vertAlign w:val="baseline"/>
                <w:lang w:val="en-US" w:eastAsia="zh-CN"/>
              </w:rPr>
            </w:pPr>
          </w:p>
          <w:p w14:paraId="641F97DB">
            <w:pPr>
              <w:rPr>
                <w:rFonts w:hint="default" w:eastAsia="宋体"/>
                <w:color w:val="auto"/>
                <w:highlight w:val="none"/>
                <w:vertAlign w:val="baseline"/>
                <w:lang w:val="en-US" w:eastAsia="zh-CN"/>
              </w:rPr>
            </w:pPr>
          </w:p>
          <w:p w14:paraId="74C9FC0E">
            <w:pPr>
              <w:rPr>
                <w:rFonts w:hint="default" w:eastAsia="宋体"/>
                <w:color w:val="auto"/>
                <w:highlight w:val="none"/>
                <w:vertAlign w:val="baseline"/>
                <w:lang w:val="en-US" w:eastAsia="zh-CN"/>
              </w:rPr>
            </w:pPr>
          </w:p>
          <w:p w14:paraId="03064C85">
            <w:pPr>
              <w:rPr>
                <w:rFonts w:hint="default" w:eastAsia="宋体"/>
                <w:color w:val="auto"/>
                <w:highlight w:val="none"/>
                <w:vertAlign w:val="baseline"/>
                <w:lang w:val="en-US" w:eastAsia="zh-CN"/>
              </w:rPr>
            </w:pPr>
          </w:p>
          <w:p w14:paraId="022BA7CC">
            <w:pPr>
              <w:rPr>
                <w:rFonts w:hint="default" w:eastAsia="宋体"/>
                <w:color w:val="auto"/>
                <w:highlight w:val="none"/>
                <w:vertAlign w:val="baseline"/>
                <w:lang w:val="en-US" w:eastAsia="zh-CN"/>
              </w:rPr>
            </w:pPr>
          </w:p>
          <w:p w14:paraId="2CD86EB7">
            <w:pPr>
              <w:rPr>
                <w:rFonts w:hint="default" w:eastAsia="宋体"/>
                <w:color w:val="auto"/>
                <w:highlight w:val="none"/>
                <w:vertAlign w:val="baseline"/>
                <w:lang w:val="en-US" w:eastAsia="zh-CN"/>
              </w:rPr>
            </w:pPr>
          </w:p>
          <w:p w14:paraId="49371628">
            <w:pPr>
              <w:rPr>
                <w:rFonts w:hint="default" w:eastAsia="宋体"/>
                <w:color w:val="auto"/>
                <w:highlight w:val="none"/>
                <w:vertAlign w:val="baseline"/>
                <w:lang w:val="en-US" w:eastAsia="zh-CN"/>
              </w:rPr>
            </w:pPr>
          </w:p>
          <w:p w14:paraId="58FF8B6A">
            <w:pPr>
              <w:rPr>
                <w:rFonts w:hint="default" w:eastAsia="宋体"/>
                <w:color w:val="auto"/>
                <w:highlight w:val="none"/>
                <w:vertAlign w:val="baseline"/>
                <w:lang w:val="en-US" w:eastAsia="zh-CN"/>
              </w:rPr>
            </w:pPr>
          </w:p>
          <w:p w14:paraId="58CBECF2">
            <w:pPr>
              <w:rPr>
                <w:rFonts w:hint="default" w:eastAsia="宋体"/>
                <w:color w:val="auto"/>
                <w:highlight w:val="none"/>
                <w:vertAlign w:val="baseline"/>
                <w:lang w:val="en-US" w:eastAsia="zh-CN"/>
              </w:rPr>
            </w:pPr>
          </w:p>
          <w:p w14:paraId="19E725F6">
            <w:pPr>
              <w:rPr>
                <w:rFonts w:hint="default" w:eastAsia="宋体"/>
                <w:color w:val="auto"/>
                <w:highlight w:val="none"/>
                <w:vertAlign w:val="baseline"/>
                <w:lang w:val="en-US" w:eastAsia="zh-CN"/>
              </w:rPr>
            </w:pPr>
          </w:p>
          <w:p w14:paraId="4D55FA0B">
            <w:pPr>
              <w:rPr>
                <w:rFonts w:hint="default" w:eastAsia="宋体"/>
                <w:color w:val="auto"/>
                <w:highlight w:val="none"/>
                <w:vertAlign w:val="baseline"/>
                <w:lang w:val="en-US" w:eastAsia="zh-CN"/>
              </w:rPr>
            </w:pPr>
          </w:p>
          <w:p w14:paraId="6AB8C734">
            <w:pPr>
              <w:rPr>
                <w:rFonts w:hint="default" w:eastAsia="宋体"/>
                <w:color w:val="auto"/>
                <w:highlight w:val="none"/>
                <w:vertAlign w:val="baseline"/>
                <w:lang w:val="en-US" w:eastAsia="zh-CN"/>
              </w:rPr>
            </w:pPr>
          </w:p>
          <w:p w14:paraId="07D81334">
            <w:pPr>
              <w:rPr>
                <w:rFonts w:hint="default" w:eastAsia="宋体"/>
                <w:color w:val="auto"/>
                <w:highlight w:val="none"/>
                <w:vertAlign w:val="baseline"/>
                <w:lang w:val="en-US" w:eastAsia="zh-CN"/>
              </w:rPr>
            </w:pPr>
          </w:p>
          <w:p w14:paraId="24BAFC99">
            <w:pPr>
              <w:rPr>
                <w:rFonts w:hint="default" w:eastAsia="宋体"/>
                <w:color w:val="auto"/>
                <w:highlight w:val="none"/>
                <w:vertAlign w:val="baseline"/>
                <w:lang w:val="en-US" w:eastAsia="zh-CN"/>
              </w:rPr>
            </w:pPr>
          </w:p>
        </w:tc>
      </w:tr>
    </w:tbl>
    <w:p w14:paraId="5446573C">
      <w:pPr>
        <w:rPr>
          <w:rFonts w:hint="default"/>
          <w:color w:val="auto"/>
          <w:highlight w:val="none"/>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8EC1864">
      <w:pPr>
        <w:pStyle w:val="19"/>
        <w:jc w:val="center"/>
        <w:outlineLvl w:val="0"/>
        <w:rPr>
          <w:rFonts w:hint="default" w:ascii="Times New Roman" w:hAnsi="Times New Roman" w:eastAsia="黑体" w:cs="Times New Roman"/>
          <w:snapToGrid w:val="0"/>
          <w:color w:val="auto"/>
          <w:sz w:val="30"/>
          <w:szCs w:val="30"/>
          <w:highlight w:val="none"/>
          <w:lang w:val="en-US" w:eastAsia="zh-CN"/>
        </w:rPr>
      </w:pPr>
      <w:bookmarkStart w:id="14" w:name="_Toc2591"/>
      <w:r>
        <w:rPr>
          <w:rFonts w:hint="default" w:ascii="Times New Roman" w:hAnsi="Times New Roman" w:eastAsia="黑体" w:cs="Times New Roman"/>
          <w:snapToGrid w:val="0"/>
          <w:color w:val="auto"/>
          <w:sz w:val="30"/>
          <w:szCs w:val="30"/>
          <w:highlight w:val="none"/>
        </w:rPr>
        <w:t>五、</w:t>
      </w:r>
      <w:bookmarkStart w:id="15" w:name="_Hlk54167917"/>
      <w:r>
        <w:rPr>
          <w:rFonts w:hint="default" w:ascii="Times New Roman" w:hAnsi="Times New Roman" w:eastAsia="黑体" w:cs="Times New Roman"/>
          <w:snapToGrid w:val="0"/>
          <w:color w:val="auto"/>
          <w:sz w:val="30"/>
          <w:szCs w:val="30"/>
          <w:highlight w:val="none"/>
        </w:rPr>
        <w:t>环境保护措施监督检查清单</w:t>
      </w:r>
      <w:bookmarkEnd w:id="14"/>
      <w:bookmarkEnd w:id="15"/>
    </w:p>
    <w:tbl>
      <w:tblPr>
        <w:tblStyle w:val="24"/>
        <w:tblW w:w="907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10"/>
        <w:gridCol w:w="1561"/>
        <w:gridCol w:w="1149"/>
        <w:gridCol w:w="3800"/>
        <w:gridCol w:w="1451"/>
      </w:tblGrid>
      <w:tr w14:paraId="14387A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tcBorders>
              <w:tl2br w:val="single" w:color="auto" w:sz="4" w:space="0"/>
            </w:tcBorders>
          </w:tcPr>
          <w:p w14:paraId="0814C461">
            <w:pPr>
              <w:keepNext w:val="0"/>
              <w:keepLines w:val="0"/>
              <w:pageBreakBefore w:val="0"/>
              <w:widowControl w:val="0"/>
              <w:kinsoku/>
              <w:wordWrap/>
              <w:overflowPunct/>
              <w:topLinePunct w:val="0"/>
              <w:autoSpaceDE/>
              <w:autoSpaceDN/>
              <w:bidi w:val="0"/>
              <w:adjustRightInd w:val="0"/>
              <w:snapToGrid w:val="0"/>
              <w:spacing w:line="320" w:lineRule="exact"/>
              <w:ind w:firstLine="420" w:firstLineChars="200"/>
              <w:jc w:val="right"/>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内容</w:t>
            </w:r>
          </w:p>
          <w:p w14:paraId="49293FD4">
            <w:pPr>
              <w:keepNext w:val="0"/>
              <w:keepLines w:val="0"/>
              <w:pageBreakBefore w:val="0"/>
              <w:widowControl w:val="0"/>
              <w:kinsoku/>
              <w:wordWrap/>
              <w:overflowPunct/>
              <w:topLinePunct w:val="0"/>
              <w:autoSpaceDE/>
              <w:autoSpaceDN/>
              <w:bidi w:val="0"/>
              <w:adjustRightInd w:val="0"/>
              <w:snapToGrid w:val="0"/>
              <w:spacing w:line="320" w:lineRule="exact"/>
              <w:ind w:firstLine="0"/>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要素</w:t>
            </w:r>
          </w:p>
        </w:tc>
        <w:tc>
          <w:tcPr>
            <w:tcW w:w="1561" w:type="dxa"/>
            <w:vAlign w:val="center"/>
          </w:tcPr>
          <w:p w14:paraId="2A756E27">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排放口</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编号、名称</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/污染源</w:t>
            </w:r>
          </w:p>
        </w:tc>
        <w:tc>
          <w:tcPr>
            <w:tcW w:w="1149" w:type="dxa"/>
            <w:vAlign w:val="center"/>
          </w:tcPr>
          <w:p w14:paraId="2A3E9B3B">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污染物项目</w:t>
            </w:r>
          </w:p>
        </w:tc>
        <w:tc>
          <w:tcPr>
            <w:tcW w:w="3800" w:type="dxa"/>
            <w:vAlign w:val="center"/>
          </w:tcPr>
          <w:p w14:paraId="5AA6955A">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rPr>
              <w:t>环境保护措施</w:t>
            </w:r>
          </w:p>
        </w:tc>
        <w:tc>
          <w:tcPr>
            <w:tcW w:w="1451" w:type="dxa"/>
            <w:vAlign w:val="center"/>
          </w:tcPr>
          <w:p w14:paraId="041BB0C9">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执行标准</w:t>
            </w:r>
          </w:p>
        </w:tc>
      </w:tr>
      <w:tr w14:paraId="2F5651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110" w:type="dxa"/>
            <w:vAlign w:val="center"/>
          </w:tcPr>
          <w:p w14:paraId="3E38A6A2">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大气环境</w:t>
            </w:r>
          </w:p>
        </w:tc>
        <w:tc>
          <w:tcPr>
            <w:tcW w:w="1561" w:type="dxa"/>
            <w:shd w:val="clear" w:color="auto" w:fill="auto"/>
            <w:vAlign w:val="center"/>
          </w:tcPr>
          <w:p w14:paraId="336C1DB6">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工业场地3.5MW燃气锅炉废气排放口DA015</w:t>
            </w:r>
          </w:p>
        </w:tc>
        <w:tc>
          <w:tcPr>
            <w:tcW w:w="1149" w:type="dxa"/>
            <w:shd w:val="clear" w:color="auto" w:fill="auto"/>
            <w:vAlign w:val="center"/>
          </w:tcPr>
          <w:p w14:paraId="142E70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color w:val="auto"/>
                <w:spacing w:val="0"/>
                <w:kern w:val="28"/>
                <w:sz w:val="21"/>
                <w:szCs w:val="21"/>
                <w:highlight w:val="none"/>
                <w:lang w:val="en-US" w:eastAsia="zh-CN" w:bidi="ar-SA"/>
              </w:rPr>
            </w:pPr>
            <w:r>
              <w:rPr>
                <w:rFonts w:hint="eastAsia" w:cs="Times New Roman"/>
                <w:b w:val="0"/>
                <w:bCs/>
                <w:color w:val="auto"/>
                <w:spacing w:val="0"/>
                <w:kern w:val="28"/>
                <w:sz w:val="21"/>
                <w:szCs w:val="21"/>
                <w:highlight w:val="none"/>
                <w:lang w:val="en-US" w:eastAsia="zh-CN" w:bidi="ar-SA"/>
              </w:rPr>
              <w:t>颗粒物、二氧化硫、氮氧化物、林格曼黑度</w:t>
            </w:r>
          </w:p>
        </w:tc>
        <w:tc>
          <w:tcPr>
            <w:tcW w:w="3800" w:type="dxa"/>
            <w:shd w:val="clear" w:color="auto" w:fill="auto"/>
            <w:vAlign w:val="center"/>
          </w:tcPr>
          <w:p w14:paraId="02AE579A">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本项目锅炉采用低氮燃烧+烟气再循环技术，废气经1根22m高排气筒排放</w:t>
            </w:r>
          </w:p>
        </w:tc>
        <w:tc>
          <w:tcPr>
            <w:tcW w:w="1451" w:type="dxa"/>
            <w:vAlign w:val="center"/>
          </w:tcPr>
          <w:p w14:paraId="5119D3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20" w:lineRule="exact"/>
              <w:ind w:left="0" w:leftChars="0" w:right="0" w:rightChars="0"/>
              <w:jc w:val="center"/>
              <w:textAlignment w:val="auto"/>
              <w:rPr>
                <w:rFonts w:hint="default" w:ascii="Times New Roman" w:hAnsi="Times New Roman" w:eastAsia="宋体" w:cs="Times New Roman"/>
                <w:b w:val="0"/>
                <w:bCs/>
                <w:color w:val="auto"/>
                <w:kern w:val="28"/>
                <w:sz w:val="21"/>
                <w:szCs w:val="21"/>
                <w:highlight w:val="none"/>
                <w:lang w:val="en-US" w:eastAsia="zh-CN" w:bidi="ar-SA"/>
              </w:rPr>
            </w:pPr>
            <w:r>
              <w:rPr>
                <w:rFonts w:hint="default" w:ascii="Times New Roman" w:hAnsi="Times New Roman" w:eastAsia="宋体" w:cs="Times New Roman"/>
                <w:b w:val="0"/>
                <w:bCs/>
                <w:color w:val="auto"/>
                <w:kern w:val="28"/>
                <w:sz w:val="21"/>
                <w:szCs w:val="21"/>
                <w:highlight w:val="none"/>
                <w:lang w:val="en-US" w:eastAsia="zh-CN" w:bidi="ar-SA"/>
              </w:rPr>
              <w:t>《锅炉大气污染物排放标准》（DB14/1929-2019）</w:t>
            </w:r>
          </w:p>
        </w:tc>
      </w:tr>
      <w:tr w14:paraId="1BE33B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Merge w:val="restart"/>
            <w:vAlign w:val="center"/>
          </w:tcPr>
          <w:p w14:paraId="4028D050">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w:t>
            </w:r>
          </w:p>
          <w:p w14:paraId="2B8E53A0">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环境</w:t>
            </w:r>
          </w:p>
        </w:tc>
        <w:tc>
          <w:tcPr>
            <w:tcW w:w="1561" w:type="dxa"/>
            <w:shd w:val="clear" w:color="auto" w:fill="auto"/>
            <w:vAlign w:val="center"/>
          </w:tcPr>
          <w:p w14:paraId="3752B9FE">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锅炉排污水</w:t>
            </w:r>
          </w:p>
        </w:tc>
        <w:tc>
          <w:tcPr>
            <w:tcW w:w="1149" w:type="dxa"/>
            <w:vAlign w:val="center"/>
          </w:tcPr>
          <w:p w14:paraId="3D51D493">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含盐量</w:t>
            </w:r>
          </w:p>
        </w:tc>
        <w:tc>
          <w:tcPr>
            <w:tcW w:w="3800" w:type="dxa"/>
            <w:vMerge w:val="restart"/>
            <w:shd w:val="clear" w:color="auto" w:fill="auto"/>
            <w:vAlign w:val="center"/>
          </w:tcPr>
          <w:p w14:paraId="1C491150">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yellow"/>
                <w:lang w:val="en-US" w:eastAsia="zh-CN" w:bidi="ar-SA"/>
              </w:rPr>
            </w:pPr>
            <w:r>
              <w:rPr>
                <w:rFonts w:hint="default" w:ascii="Times New Roman" w:hAnsi="Times New Roman" w:eastAsia="宋体" w:cs="Times New Roman"/>
                <w:color w:val="auto"/>
                <w:kern w:val="2"/>
                <w:sz w:val="21"/>
                <w:szCs w:val="21"/>
                <w:highlight w:val="none"/>
                <w:lang w:val="en-US" w:eastAsia="zh-CN" w:bidi="ar-SA"/>
              </w:rPr>
              <w:t>经现有污水管道收集</w:t>
            </w:r>
            <w:r>
              <w:rPr>
                <w:rFonts w:hint="eastAsia" w:ascii="Times New Roman" w:hAnsi="Times New Roman" w:cs="Times New Roman"/>
                <w:color w:val="auto"/>
                <w:kern w:val="2"/>
                <w:sz w:val="21"/>
                <w:szCs w:val="21"/>
                <w:highlight w:val="none"/>
                <w:lang w:val="en-US" w:eastAsia="zh-CN" w:bidi="ar-SA"/>
              </w:rPr>
              <w:t>进入现有矿井水处理站进行处理</w:t>
            </w:r>
            <w:r>
              <w:rPr>
                <w:rFonts w:hint="default" w:ascii="Times New Roman" w:hAnsi="Times New Roman" w:eastAsia="宋体" w:cs="Times New Roman"/>
                <w:color w:val="auto"/>
                <w:kern w:val="2"/>
                <w:sz w:val="21"/>
                <w:szCs w:val="21"/>
                <w:highlight w:val="none"/>
                <w:lang w:val="en-US" w:eastAsia="zh-CN" w:bidi="ar-SA"/>
              </w:rPr>
              <w:t>后，优先回用</w:t>
            </w:r>
          </w:p>
        </w:tc>
        <w:tc>
          <w:tcPr>
            <w:tcW w:w="1451" w:type="dxa"/>
            <w:vMerge w:val="restart"/>
            <w:vAlign w:val="center"/>
          </w:tcPr>
          <w:p w14:paraId="5977C3F5">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0161B0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Merge w:val="continue"/>
            <w:vAlign w:val="center"/>
          </w:tcPr>
          <w:p w14:paraId="3E2F9EAF">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p>
        </w:tc>
        <w:tc>
          <w:tcPr>
            <w:tcW w:w="1561" w:type="dxa"/>
            <w:shd w:val="clear" w:color="auto" w:fill="auto"/>
            <w:vAlign w:val="center"/>
          </w:tcPr>
          <w:p w14:paraId="22DC1764">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eastAsia"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软化水系统</w:t>
            </w:r>
          </w:p>
          <w:p w14:paraId="3325C8FC">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排水</w:t>
            </w:r>
          </w:p>
        </w:tc>
        <w:tc>
          <w:tcPr>
            <w:tcW w:w="1149" w:type="dxa"/>
            <w:vAlign w:val="center"/>
          </w:tcPr>
          <w:p w14:paraId="2DBFF101">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含盐量</w:t>
            </w:r>
          </w:p>
        </w:tc>
        <w:tc>
          <w:tcPr>
            <w:tcW w:w="3800" w:type="dxa"/>
            <w:vMerge w:val="continue"/>
            <w:shd w:val="clear" w:color="auto" w:fill="auto"/>
            <w:vAlign w:val="center"/>
          </w:tcPr>
          <w:p w14:paraId="7F4AA004">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lang w:val="en-US" w:eastAsia="zh-CN" w:bidi="ar-SA"/>
              </w:rPr>
            </w:pPr>
          </w:p>
        </w:tc>
        <w:tc>
          <w:tcPr>
            <w:tcW w:w="1451" w:type="dxa"/>
            <w:vMerge w:val="continue"/>
            <w:vAlign w:val="center"/>
          </w:tcPr>
          <w:p w14:paraId="52DF85ED">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eastAsia" w:ascii="Times New Roman" w:hAnsi="Times New Roman" w:eastAsia="宋体" w:cs="Times New Roman"/>
                <w:color w:val="auto"/>
                <w:szCs w:val="21"/>
                <w:highlight w:val="none"/>
                <w:lang w:val="en-US" w:eastAsia="zh-CN"/>
              </w:rPr>
            </w:pPr>
          </w:p>
        </w:tc>
      </w:tr>
      <w:tr w14:paraId="1499B6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3A6B05EE">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声环境</w:t>
            </w:r>
          </w:p>
        </w:tc>
        <w:tc>
          <w:tcPr>
            <w:tcW w:w="1561" w:type="dxa"/>
            <w:vAlign w:val="center"/>
          </w:tcPr>
          <w:p w14:paraId="35CD4600">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生产设备</w:t>
            </w:r>
          </w:p>
        </w:tc>
        <w:tc>
          <w:tcPr>
            <w:tcW w:w="1149" w:type="dxa"/>
            <w:vAlign w:val="center"/>
          </w:tcPr>
          <w:p w14:paraId="216736DD">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rPr>
              <w:t>噪声</w:t>
            </w:r>
          </w:p>
        </w:tc>
        <w:tc>
          <w:tcPr>
            <w:tcW w:w="3800" w:type="dxa"/>
            <w:shd w:val="clear" w:color="auto" w:fill="auto"/>
            <w:vAlign w:val="center"/>
          </w:tcPr>
          <w:p w14:paraId="0AB7C6F9">
            <w:pPr>
              <w:pStyle w:val="87"/>
              <w:keepNext w:val="0"/>
              <w:keepLines w:val="0"/>
              <w:pageBreakBefore w:val="0"/>
              <w:widowControl w:val="0"/>
              <w:kinsoku/>
              <w:wordWrap/>
              <w:overflowPunct/>
              <w:topLinePunct w:val="0"/>
              <w:autoSpaceDE/>
              <w:autoSpaceDN/>
              <w:bidi w:val="0"/>
              <w:adjustRightInd/>
              <w:snapToGrid/>
              <w:spacing w:line="300" w:lineRule="exact"/>
              <w:ind w:firstLine="0" w:firstLineChars="0"/>
              <w:textAlignment w:val="auto"/>
              <w:rPr>
                <w:rFonts w:hint="default" w:ascii="Times New Roman" w:hAnsi="Times New Roman" w:eastAsia="宋体" w:cs="Times New Roman"/>
                <w:color w:val="auto"/>
                <w:kern w:val="2"/>
                <w:sz w:val="21"/>
                <w:szCs w:val="21"/>
                <w:highlight w:val="yellow"/>
                <w:lang w:val="en-US" w:eastAsia="zh-CN" w:bidi="ar-SA"/>
              </w:rPr>
            </w:pPr>
            <w:r>
              <w:rPr>
                <w:rFonts w:hint="eastAsia" w:ascii="Times New Roman" w:hAnsi="Times New Roman" w:cs="Times New Roman"/>
                <w:color w:val="auto"/>
                <w:sz w:val="21"/>
                <w:szCs w:val="21"/>
                <w:lang w:val="en-US" w:eastAsia="zh-CN"/>
              </w:rPr>
              <w:t>低噪声设备；</w:t>
            </w:r>
            <w:r>
              <w:rPr>
                <w:rFonts w:hint="default" w:ascii="Times New Roman" w:hAnsi="Times New Roman" w:cs="Times New Roman"/>
                <w:color w:val="auto"/>
                <w:sz w:val="21"/>
                <w:szCs w:val="21"/>
              </w:rPr>
              <w:t>减振、厂房隔声</w:t>
            </w: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定期维修、检修</w:t>
            </w:r>
          </w:p>
        </w:tc>
        <w:tc>
          <w:tcPr>
            <w:tcW w:w="1451" w:type="dxa"/>
            <w:vAlign w:val="center"/>
          </w:tcPr>
          <w:p w14:paraId="7B170352">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w:t>
            </w:r>
            <w:r>
              <w:rPr>
                <w:rFonts w:hint="default" w:ascii="Times New Roman" w:hAnsi="Times New Roman" w:cs="Times New Roman"/>
                <w:color w:val="auto"/>
                <w:kern w:val="2"/>
                <w:sz w:val="21"/>
                <w:szCs w:val="21"/>
                <w:highlight w:val="none"/>
                <w:lang w:val="en-US" w:eastAsia="zh-CN" w:bidi="ar-SA"/>
              </w:rPr>
              <w:fldChar w:fldCharType="begin"/>
            </w:r>
            <w:r>
              <w:rPr>
                <w:rFonts w:hint="default" w:ascii="Times New Roman" w:hAnsi="Times New Roman" w:cs="Times New Roman"/>
                <w:color w:val="auto"/>
                <w:kern w:val="2"/>
                <w:sz w:val="21"/>
                <w:szCs w:val="21"/>
                <w:highlight w:val="none"/>
                <w:lang w:val="en-US" w:eastAsia="zh-CN" w:bidi="ar-SA"/>
              </w:rPr>
              <w:instrText xml:space="preserve"> HYPERLINK "http://www.mep.gov.cn/info/bgw/bgg/200809/W020081017399508921576.pdf" \t "_self" </w:instrText>
            </w:r>
            <w:r>
              <w:rPr>
                <w:rFonts w:hint="default" w:ascii="Times New Roman" w:hAnsi="Times New Roman" w:cs="Times New Roman"/>
                <w:color w:val="auto"/>
                <w:kern w:val="2"/>
                <w:sz w:val="21"/>
                <w:szCs w:val="21"/>
                <w:highlight w:val="none"/>
                <w:lang w:val="en-US" w:eastAsia="zh-CN" w:bidi="ar-SA"/>
              </w:rPr>
              <w:fldChar w:fldCharType="separate"/>
            </w:r>
            <w:r>
              <w:rPr>
                <w:rFonts w:hint="default" w:ascii="Times New Roman" w:hAnsi="Times New Roman" w:cs="Times New Roman"/>
                <w:color w:val="auto"/>
                <w:kern w:val="2"/>
                <w:sz w:val="21"/>
                <w:szCs w:val="21"/>
                <w:highlight w:val="none"/>
                <w:lang w:val="en-US" w:eastAsia="zh-CN" w:bidi="ar-SA"/>
              </w:rPr>
              <w:t>工业企业厂界环境噪声</w:t>
            </w:r>
            <w:r>
              <w:rPr>
                <w:rFonts w:hint="default" w:ascii="Times New Roman" w:hAnsi="Times New Roman" w:cs="Times New Roman"/>
                <w:color w:val="auto"/>
                <w:kern w:val="2"/>
                <w:sz w:val="21"/>
                <w:szCs w:val="21"/>
                <w:highlight w:val="none"/>
                <w:lang w:val="en-US" w:eastAsia="zh-CN" w:bidi="ar-SA"/>
              </w:rPr>
              <w:fldChar w:fldCharType="end"/>
            </w:r>
            <w:r>
              <w:rPr>
                <w:rFonts w:hint="default" w:ascii="Times New Roman" w:hAnsi="Times New Roman" w:cs="Times New Roman"/>
                <w:color w:val="auto"/>
                <w:kern w:val="2"/>
                <w:sz w:val="21"/>
                <w:szCs w:val="21"/>
                <w:highlight w:val="none"/>
                <w:lang w:val="en-US" w:eastAsia="zh-CN" w:bidi="ar-SA"/>
              </w:rPr>
              <w:t>排放标准》（GB12348-2008）</w:t>
            </w:r>
          </w:p>
        </w:tc>
      </w:tr>
      <w:tr w14:paraId="4F8AAE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57829D23">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tc>
        <w:tc>
          <w:tcPr>
            <w:tcW w:w="7961" w:type="dxa"/>
            <w:gridSpan w:val="4"/>
            <w:vAlign w:val="center"/>
          </w:tcPr>
          <w:p w14:paraId="197B278F">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eastAsia" w:ascii="Times New Roman" w:hAnsi="Times New Roman" w:eastAsia="宋体" w:cs="Times New Roman"/>
                <w:color w:val="auto"/>
                <w:szCs w:val="21"/>
                <w:highlight w:val="none"/>
                <w:lang w:eastAsia="zh-CN"/>
              </w:rPr>
            </w:pPr>
            <w:r>
              <w:rPr>
                <w:rFonts w:hint="eastAsia" w:ascii="Times New Roman" w:hAnsi="Times New Roman" w:cs="Times New Roman"/>
                <w:color w:val="auto"/>
                <w:szCs w:val="21"/>
                <w:highlight w:val="none"/>
                <w:lang w:val="en-US" w:eastAsia="zh-CN"/>
              </w:rPr>
              <w:t>一般工业固体废物：软化水制备设备产生的废离子交换树脂，由厂家定期更换后回收。</w:t>
            </w:r>
          </w:p>
        </w:tc>
      </w:tr>
      <w:tr w14:paraId="556D33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574182AD">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土壤及地下水污染防治措施</w:t>
            </w:r>
          </w:p>
        </w:tc>
        <w:tc>
          <w:tcPr>
            <w:tcW w:w="7961" w:type="dxa"/>
            <w:gridSpan w:val="4"/>
            <w:vAlign w:val="center"/>
          </w:tcPr>
          <w:p w14:paraId="249E88B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本项目为</w:t>
            </w:r>
            <w:r>
              <w:rPr>
                <w:rFonts w:hint="eastAsia" w:cs="Times New Roman"/>
                <w:color w:val="auto"/>
                <w:szCs w:val="21"/>
                <w:highlight w:val="none"/>
                <w:lang w:val="en-US" w:eastAsia="zh-CN"/>
              </w:rPr>
              <w:t>简单防渗区，已做水泥硬化防渗</w:t>
            </w:r>
          </w:p>
        </w:tc>
      </w:tr>
      <w:tr w14:paraId="6AF170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2AB349F6">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生态保护措施</w:t>
            </w:r>
          </w:p>
        </w:tc>
        <w:tc>
          <w:tcPr>
            <w:tcW w:w="7961" w:type="dxa"/>
            <w:gridSpan w:val="4"/>
            <w:vAlign w:val="center"/>
          </w:tcPr>
          <w:p w14:paraId="52A41782">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r w14:paraId="3C2649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45DA9E54">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环境风险</w:t>
            </w:r>
          </w:p>
          <w:p w14:paraId="5504B8F9">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防范措施</w:t>
            </w:r>
          </w:p>
        </w:tc>
        <w:tc>
          <w:tcPr>
            <w:tcW w:w="7961" w:type="dxa"/>
            <w:gridSpan w:val="4"/>
            <w:vAlign w:val="center"/>
          </w:tcPr>
          <w:p w14:paraId="7409A84C">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本项目天然气可能发生泄漏，泄漏风险防范及应急措施如下</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在天然气锅炉附近设置可燃气体泄漏报警装置，如输送管道破裂，导致少量的天然气泄漏，关闭事故管道相对应的天然气调节阀，切断气源，并及时联系天然气供应厂家。</w:t>
            </w:r>
          </w:p>
        </w:tc>
      </w:tr>
      <w:tr w14:paraId="3E67F8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0" w:type="dxa"/>
            <w:vAlign w:val="center"/>
          </w:tcPr>
          <w:p w14:paraId="328E64E1">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其他环境</w:t>
            </w:r>
          </w:p>
          <w:p w14:paraId="3CA3B07E">
            <w:pPr>
              <w:keepNext w:val="0"/>
              <w:keepLines w:val="0"/>
              <w:pageBreakBefore w:val="0"/>
              <w:widowControl w:val="0"/>
              <w:kinsoku/>
              <w:wordWrap/>
              <w:overflowPunct/>
              <w:topLinePunct w:val="0"/>
              <w:autoSpaceDE/>
              <w:autoSpaceDN/>
              <w:bidi w:val="0"/>
              <w:adjustRightInd w:val="0"/>
              <w:snapToGrid w:val="0"/>
              <w:spacing w:line="320" w:lineRule="exact"/>
              <w:ind w:firstLine="0"/>
              <w:jc w:val="center"/>
              <w:textAlignment w:val="auto"/>
              <w:rPr>
                <w:rFonts w:hint="default" w:ascii="Times New Roman" w:hAnsi="Times New Roman" w:cs="Times New Roman"/>
                <w:color w:val="auto"/>
                <w:spacing w:val="-8"/>
                <w:szCs w:val="21"/>
                <w:highlight w:val="none"/>
              </w:rPr>
            </w:pPr>
            <w:r>
              <w:rPr>
                <w:rFonts w:hint="default" w:ascii="Times New Roman" w:hAnsi="Times New Roman" w:cs="Times New Roman"/>
                <w:color w:val="auto"/>
                <w:spacing w:val="-8"/>
                <w:szCs w:val="21"/>
                <w:highlight w:val="none"/>
              </w:rPr>
              <w:t>管理要求</w:t>
            </w:r>
          </w:p>
        </w:tc>
        <w:tc>
          <w:tcPr>
            <w:tcW w:w="7961" w:type="dxa"/>
            <w:gridSpan w:val="4"/>
            <w:vAlign w:val="center"/>
          </w:tcPr>
          <w:p w14:paraId="4911B5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both"/>
              <w:textAlignment w:val="auto"/>
              <w:rPr>
                <w:rFonts w:hint="default"/>
                <w:b w:val="0"/>
                <w:bCs w:val="0"/>
                <w:color w:val="auto"/>
                <w:szCs w:val="21"/>
              </w:rPr>
            </w:pPr>
            <w:r>
              <w:rPr>
                <w:rFonts w:hint="eastAsia"/>
                <w:b w:val="0"/>
                <w:bCs w:val="0"/>
                <w:color w:val="auto"/>
                <w:szCs w:val="21"/>
              </w:rPr>
              <w:t>1、</w:t>
            </w:r>
            <w:r>
              <w:rPr>
                <w:rFonts w:hint="default"/>
                <w:b w:val="0"/>
                <w:bCs w:val="0"/>
                <w:color w:val="auto"/>
                <w:szCs w:val="21"/>
              </w:rPr>
              <w:t>环境管理计划</w:t>
            </w:r>
          </w:p>
          <w:p w14:paraId="06AEF6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420" w:firstLineChars="200"/>
              <w:jc w:val="both"/>
              <w:textAlignment w:val="auto"/>
              <w:rPr>
                <w:rFonts w:hint="default" w:ascii="Times New Roman" w:hAnsi="Times New Roman" w:cs="Times New Roman"/>
                <w:b w:val="0"/>
                <w:bCs w:val="0"/>
                <w:color w:val="auto"/>
                <w:szCs w:val="21"/>
              </w:rPr>
            </w:pPr>
            <w:r>
              <w:rPr>
                <w:rFonts w:hint="default"/>
                <w:b w:val="0"/>
                <w:bCs w:val="0"/>
                <w:color w:val="auto"/>
                <w:szCs w:val="21"/>
              </w:rPr>
              <w:t>本工程环境管理工作计划</w:t>
            </w:r>
            <w:r>
              <w:rPr>
                <w:rFonts w:hint="default" w:ascii="Times New Roman" w:hAnsi="Times New Roman" w:cs="Times New Roman"/>
                <w:b w:val="0"/>
                <w:bCs w:val="0"/>
                <w:color w:val="auto"/>
                <w:szCs w:val="21"/>
              </w:rPr>
              <w:t>见表5-1。</w:t>
            </w:r>
          </w:p>
          <w:p w14:paraId="4D74A3CF">
            <w:pPr>
              <w:keepNext w:val="0"/>
              <w:keepLines w:val="0"/>
              <w:pageBreakBefore w:val="0"/>
              <w:widowControl w:val="0"/>
              <w:suppressLineNumbers w:val="0"/>
              <w:kinsoku/>
              <w:wordWrap/>
              <w:overflowPunct/>
              <w:topLinePunct w:val="0"/>
              <w:autoSpaceDE w:val="0"/>
              <w:autoSpaceDN w:val="0"/>
              <w:bidi w:val="0"/>
              <w:adjustRightInd w:val="0"/>
              <w:snapToGrid w:val="0"/>
              <w:spacing w:before="157" w:beforeLines="50" w:beforeAutospacing="0" w:after="0" w:afterAutospacing="0"/>
              <w:ind w:left="0" w:right="0"/>
              <w:jc w:val="center"/>
              <w:textAlignment w:val="auto"/>
              <w:rPr>
                <w:rFonts w:hint="eastAsia" w:ascii="黑体" w:hAnsi="黑体" w:eastAsia="黑体" w:cs="黑体"/>
                <w:b w:val="0"/>
                <w:bCs w:val="0"/>
                <w:color w:val="auto"/>
                <w:szCs w:val="21"/>
              </w:rPr>
            </w:pPr>
            <w:r>
              <w:rPr>
                <w:rFonts w:hint="eastAsia" w:ascii="黑体" w:hAnsi="黑体" w:eastAsia="黑体" w:cs="黑体"/>
                <w:b w:val="0"/>
                <w:bCs w:val="0"/>
                <w:color w:val="auto"/>
                <w:szCs w:val="21"/>
              </w:rPr>
              <w:t>表</w:t>
            </w:r>
            <w:r>
              <w:rPr>
                <w:rFonts w:hint="default" w:ascii="Times New Roman" w:hAnsi="Times New Roman" w:eastAsia="黑体" w:cs="Times New Roman"/>
                <w:b w:val="0"/>
                <w:bCs w:val="0"/>
                <w:color w:val="auto"/>
                <w:szCs w:val="21"/>
              </w:rPr>
              <w:t>5-1</w:t>
            </w:r>
            <w:r>
              <w:rPr>
                <w:rFonts w:hint="eastAsia" w:ascii="黑体" w:hAnsi="黑体" w:eastAsia="黑体" w:cs="黑体"/>
                <w:b w:val="0"/>
                <w:bCs w:val="0"/>
                <w:color w:val="auto"/>
                <w:szCs w:val="21"/>
                <w:lang w:val="en-US" w:eastAsia="zh-CN"/>
              </w:rPr>
              <w:t xml:space="preserve">  </w:t>
            </w:r>
            <w:r>
              <w:rPr>
                <w:rFonts w:hint="eastAsia" w:ascii="黑体" w:hAnsi="黑体" w:eastAsia="黑体" w:cs="黑体"/>
                <w:b w:val="0"/>
                <w:bCs w:val="0"/>
                <w:color w:val="auto"/>
                <w:szCs w:val="21"/>
              </w:rPr>
              <w:t>环境管理工作计划表</w:t>
            </w:r>
          </w:p>
          <w:tbl>
            <w:tblPr>
              <w:tblStyle w:val="24"/>
              <w:tblW w:w="5000"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6465"/>
            </w:tblGrid>
            <w:tr w14:paraId="657C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21" w:type="pct"/>
                  <w:tcBorders>
                    <w:tl2br w:val="nil"/>
                    <w:tr2bl w:val="nil"/>
                  </w:tcBorders>
                  <w:noWrap w:val="0"/>
                  <w:vAlign w:val="center"/>
                </w:tcPr>
                <w:p w14:paraId="2DA7C2B1">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阶段</w:t>
                  </w:r>
                </w:p>
              </w:tc>
              <w:tc>
                <w:tcPr>
                  <w:tcW w:w="4178" w:type="pct"/>
                  <w:tcBorders>
                    <w:tl2br w:val="nil"/>
                    <w:tr2bl w:val="nil"/>
                  </w:tcBorders>
                  <w:noWrap w:val="0"/>
                  <w:vAlign w:val="center"/>
                </w:tcPr>
                <w:p w14:paraId="52A5732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环境管理工作主要内容</w:t>
                  </w:r>
                </w:p>
              </w:tc>
            </w:tr>
            <w:tr w14:paraId="2D75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1" w:type="pct"/>
                  <w:tcBorders>
                    <w:tl2br w:val="nil"/>
                    <w:tr2bl w:val="nil"/>
                  </w:tcBorders>
                  <w:noWrap w:val="0"/>
                  <w:vAlign w:val="center"/>
                </w:tcPr>
                <w:p w14:paraId="6578514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环境管理</w:t>
                  </w:r>
                </w:p>
                <w:p w14:paraId="749788C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机构的职能</w:t>
                  </w:r>
                </w:p>
              </w:tc>
              <w:tc>
                <w:tcPr>
                  <w:tcW w:w="4178" w:type="pct"/>
                  <w:tcBorders>
                    <w:tl2br w:val="nil"/>
                    <w:tr2bl w:val="nil"/>
                  </w:tcBorders>
                  <w:noWrap w:val="0"/>
                  <w:vAlign w:val="center"/>
                </w:tcPr>
                <w:p w14:paraId="0F2EB6A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根据国家建设</w:t>
                  </w:r>
                  <w:r>
                    <w:rPr>
                      <w:rFonts w:hint="eastAsia" w:ascii="Times New Roman" w:hAnsi="Times New Roman" w:cs="Times New Roman"/>
                      <w:b w:val="0"/>
                      <w:bCs w:val="0"/>
                      <w:color w:val="auto"/>
                      <w:sz w:val="21"/>
                      <w:szCs w:val="21"/>
                      <w:lang w:val="en-US" w:eastAsia="zh-CN"/>
                    </w:rPr>
                    <w:t>项</w:t>
                  </w:r>
                  <w:r>
                    <w:rPr>
                      <w:rFonts w:hint="default" w:ascii="Times New Roman" w:hAnsi="Times New Roman" w:cs="Times New Roman"/>
                      <w:b w:val="0"/>
                      <w:bCs w:val="0"/>
                      <w:color w:val="auto"/>
                      <w:sz w:val="21"/>
                      <w:szCs w:val="21"/>
                    </w:rPr>
                    <w:t>目环境管理规定，认真落实各项环保手续，完成各级环保主管部门对企业提出的环境要求，对企业内部各项管理计划的执行及完成情况进行监督，确保环境管理工作真正发挥作用。</w:t>
                  </w:r>
                </w:p>
              </w:tc>
            </w:tr>
            <w:tr w14:paraId="103B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1" w:type="pct"/>
                  <w:tcBorders>
                    <w:tl2br w:val="nil"/>
                    <w:tr2bl w:val="nil"/>
                  </w:tcBorders>
                  <w:noWrap w:val="0"/>
                  <w:vAlign w:val="center"/>
                </w:tcPr>
                <w:p w14:paraId="7CD9DC9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建设期</w:t>
                  </w:r>
                </w:p>
              </w:tc>
              <w:tc>
                <w:tcPr>
                  <w:tcW w:w="4178" w:type="pct"/>
                  <w:tcBorders>
                    <w:tl2br w:val="nil"/>
                    <w:tr2bl w:val="nil"/>
                  </w:tcBorders>
                  <w:noWrap w:val="0"/>
                  <w:vAlign w:val="center"/>
                </w:tcPr>
                <w:p w14:paraId="3685C4E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w:t>
                  </w:r>
                  <w:r>
                    <w:rPr>
                      <w:rFonts w:hint="default" w:ascii="Times New Roman" w:hAnsi="Times New Roman" w:cs="Times New Roman"/>
                      <w:b w:val="0"/>
                      <w:bCs w:val="0"/>
                      <w:color w:val="auto"/>
                      <w:sz w:val="21"/>
                      <w:szCs w:val="21"/>
                      <w:lang w:val="en-US" w:eastAsia="zh-CN"/>
                    </w:rPr>
                    <w:t>严禁建设单位在22:00-6:00施工，施工期选用低噪声设备，加强设备的维护与管理</w:t>
                  </w:r>
                  <w:r>
                    <w:rPr>
                      <w:rFonts w:hint="eastAsia" w:ascii="Times New Roman" w:hAnsi="Times New Roman" w:cs="Times New Roman"/>
                      <w:b w:val="0"/>
                      <w:bCs w:val="0"/>
                      <w:color w:val="auto"/>
                      <w:sz w:val="21"/>
                      <w:szCs w:val="21"/>
                      <w:lang w:val="en-US" w:eastAsia="zh-CN"/>
                    </w:rPr>
                    <w:t>；2、</w:t>
                  </w:r>
                  <w:r>
                    <w:rPr>
                      <w:rFonts w:hint="default" w:ascii="Times New Roman" w:hAnsi="Times New Roman" w:cs="Times New Roman"/>
                      <w:b w:val="0"/>
                      <w:bCs w:val="0"/>
                      <w:color w:val="auto"/>
                      <w:sz w:val="21"/>
                      <w:szCs w:val="21"/>
                      <w:lang w:val="en-US" w:eastAsia="zh-CN"/>
                    </w:rPr>
                    <w:t>加强对施工人员的监督和管理等措施</w:t>
                  </w:r>
                  <w:r>
                    <w:rPr>
                      <w:rFonts w:hint="default" w:ascii="Times New Roman" w:hAnsi="Times New Roman" w:cs="Times New Roman"/>
                      <w:b w:val="0"/>
                      <w:bCs w:val="0"/>
                      <w:color w:val="auto"/>
                      <w:sz w:val="21"/>
                      <w:szCs w:val="21"/>
                    </w:rPr>
                    <w:t>。</w:t>
                  </w:r>
                </w:p>
              </w:tc>
            </w:tr>
            <w:tr w14:paraId="0C69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1" w:type="pct"/>
                  <w:tcBorders>
                    <w:tl2br w:val="nil"/>
                    <w:tr2bl w:val="nil"/>
                  </w:tcBorders>
                  <w:noWrap w:val="0"/>
                  <w:vAlign w:val="center"/>
                </w:tcPr>
                <w:p w14:paraId="5A90A3AC">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调试期</w:t>
                  </w:r>
                </w:p>
              </w:tc>
              <w:tc>
                <w:tcPr>
                  <w:tcW w:w="4178" w:type="pct"/>
                  <w:tcBorders>
                    <w:tl2br w:val="nil"/>
                    <w:tr2bl w:val="nil"/>
                  </w:tcBorders>
                  <w:noWrap w:val="0"/>
                  <w:vAlign w:val="center"/>
                </w:tcPr>
                <w:p w14:paraId="1F7C1AA9">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1、对噪声防治效果进行检测。</w:t>
                  </w:r>
                  <w:r>
                    <w:rPr>
                      <w:rFonts w:hint="eastAsia" w:ascii="Times New Roman" w:hAnsi="Times New Roman" w:cs="Times New Roman"/>
                      <w:b w:val="0"/>
                      <w:bCs w:val="0"/>
                      <w:color w:val="auto"/>
                      <w:sz w:val="21"/>
                      <w:szCs w:val="21"/>
                      <w:lang w:val="en-US" w:eastAsia="zh-CN"/>
                    </w:rPr>
                    <w:t>2</w:t>
                  </w:r>
                  <w:r>
                    <w:rPr>
                      <w:rFonts w:hint="default" w:ascii="Times New Roman" w:hAnsi="Times New Roman" w:cs="Times New Roman"/>
                      <w:b w:val="0"/>
                      <w:bCs w:val="0"/>
                      <w:color w:val="auto"/>
                      <w:sz w:val="21"/>
                      <w:szCs w:val="21"/>
                    </w:rPr>
                    <w:t>、对各设施不定期进行检查。</w:t>
                  </w:r>
                  <w:r>
                    <w:rPr>
                      <w:rFonts w:hint="eastAsia" w:ascii="Times New Roman" w:hAnsi="Times New Roman" w:cs="Times New Roman"/>
                      <w:b w:val="0"/>
                      <w:bCs w:val="0"/>
                      <w:color w:val="auto"/>
                      <w:sz w:val="21"/>
                      <w:szCs w:val="21"/>
                      <w:lang w:val="en-US" w:eastAsia="zh-CN"/>
                    </w:rPr>
                    <w:t>3</w:t>
                  </w:r>
                  <w:r>
                    <w:rPr>
                      <w:rFonts w:hint="default" w:ascii="Times New Roman" w:hAnsi="Times New Roman" w:cs="Times New Roman"/>
                      <w:b w:val="0"/>
                      <w:bCs w:val="0"/>
                      <w:color w:val="auto"/>
                      <w:sz w:val="21"/>
                      <w:szCs w:val="21"/>
                    </w:rPr>
                    <w:t>、记录各项环保设施的试运行状况，针对出现问题提出完善意见。</w:t>
                  </w:r>
                  <w:r>
                    <w:rPr>
                      <w:rFonts w:hint="eastAsia" w:ascii="Times New Roman" w:hAnsi="Times New Roman" w:cs="Times New Roman"/>
                      <w:b w:val="0"/>
                      <w:bCs w:val="0"/>
                      <w:color w:val="auto"/>
                      <w:sz w:val="21"/>
                      <w:szCs w:val="21"/>
                      <w:lang w:val="en-US" w:eastAsia="zh-CN"/>
                    </w:rPr>
                    <w:t>4</w:t>
                  </w:r>
                  <w:r>
                    <w:rPr>
                      <w:rFonts w:hint="default" w:ascii="Times New Roman" w:hAnsi="Times New Roman" w:cs="Times New Roman"/>
                      <w:b w:val="0"/>
                      <w:bCs w:val="0"/>
                      <w:color w:val="auto"/>
                      <w:sz w:val="21"/>
                      <w:szCs w:val="21"/>
                    </w:rPr>
                    <w:t>、总结试运行期的生产经验，健全前期制定各项管理制度。</w:t>
                  </w:r>
                </w:p>
              </w:tc>
            </w:tr>
            <w:tr w14:paraId="3C92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21" w:type="pct"/>
                  <w:tcBorders>
                    <w:tl2br w:val="nil"/>
                    <w:tr2bl w:val="nil"/>
                  </w:tcBorders>
                  <w:noWrap w:val="0"/>
                  <w:vAlign w:val="center"/>
                </w:tcPr>
                <w:p w14:paraId="663DF0A4">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生产运行期</w:t>
                  </w:r>
                </w:p>
              </w:tc>
              <w:tc>
                <w:tcPr>
                  <w:tcW w:w="4178" w:type="pct"/>
                  <w:tcBorders>
                    <w:tl2br w:val="nil"/>
                    <w:tr2bl w:val="nil"/>
                  </w:tcBorders>
                  <w:noWrap w:val="0"/>
                  <w:vAlign w:val="center"/>
                </w:tcPr>
                <w:p w14:paraId="51A0979A">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1、严格执行各项生产及环境管理制度，保证生产的正常进行。</w:t>
                  </w:r>
                </w:p>
                <w:p w14:paraId="47372DB6">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both"/>
                    <w:textAlignment w:val="auto"/>
                    <w:rPr>
                      <w:rFonts w:hint="default" w:ascii="Times New Roman" w:hAnsi="Times New Roman" w:cs="Times New Roman"/>
                      <w:b w:val="0"/>
                      <w:bCs w:val="0"/>
                      <w:color w:val="auto"/>
                      <w:sz w:val="21"/>
                      <w:szCs w:val="21"/>
                    </w:rPr>
                  </w:pPr>
                  <w:r>
                    <w:rPr>
                      <w:rFonts w:hint="default" w:ascii="Times New Roman" w:hAnsi="Times New Roman" w:cs="Times New Roman"/>
                      <w:b w:val="0"/>
                      <w:bCs w:val="0"/>
                      <w:color w:val="auto"/>
                      <w:sz w:val="21"/>
                      <w:szCs w:val="21"/>
                    </w:rPr>
                    <w:t>2、设立环保设施运行卡，对环保设施定期进行检查维护，做到勤查、勤记、勤养护。3、按照监测计划组织厂</w:t>
                  </w:r>
                  <w:r>
                    <w:rPr>
                      <w:rFonts w:hint="eastAsia" w:ascii="Times New Roman" w:hAnsi="Times New Roman" w:cs="Times New Roman"/>
                      <w:b w:val="0"/>
                      <w:bCs w:val="0"/>
                      <w:color w:val="auto"/>
                      <w:sz w:val="21"/>
                      <w:szCs w:val="21"/>
                      <w:lang w:val="en-US" w:eastAsia="zh-CN"/>
                    </w:rPr>
                    <w:t>区</w:t>
                  </w:r>
                  <w:r>
                    <w:rPr>
                      <w:rFonts w:hint="default" w:ascii="Times New Roman" w:hAnsi="Times New Roman" w:cs="Times New Roman"/>
                      <w:b w:val="0"/>
                      <w:bCs w:val="0"/>
                      <w:color w:val="auto"/>
                      <w:sz w:val="21"/>
                      <w:szCs w:val="21"/>
                    </w:rPr>
                    <w:t>的污染源监测，对不达标装置立即寻找原因，及时处理。4、建立环境管理台账制度，应真实记录基本信息、监测记录信息及其他环境管理信息等；按照电子台账和纸质台账两种记录形式同步管理。</w:t>
                  </w:r>
                </w:p>
              </w:tc>
            </w:tr>
          </w:tbl>
          <w:p w14:paraId="738DFE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textAlignment w:val="auto"/>
              <w:rPr>
                <w:rFonts w:hint="default" w:ascii="Times New Roman" w:hAnsi="Times New Roman" w:cs="Times New Roman"/>
                <w:b w:val="0"/>
                <w:bCs w:val="0"/>
                <w:color w:val="auto"/>
                <w:szCs w:val="21"/>
              </w:rPr>
            </w:pPr>
            <w:bookmarkStart w:id="16" w:name="_Toc15842"/>
            <w:r>
              <w:rPr>
                <w:rFonts w:hint="default" w:ascii="Times New Roman" w:hAnsi="Times New Roman" w:cs="Times New Roman"/>
                <w:b w:val="0"/>
                <w:bCs w:val="0"/>
                <w:color w:val="auto"/>
                <w:szCs w:val="21"/>
              </w:rPr>
              <w:t>2、排污口规范化设置</w:t>
            </w:r>
            <w:bookmarkEnd w:id="16"/>
          </w:p>
          <w:p w14:paraId="569F5083">
            <w:pPr>
              <w:keepNext w:val="0"/>
              <w:keepLines w:val="0"/>
              <w:pageBreakBefore w:val="0"/>
              <w:widowControl w:val="0"/>
              <w:kinsoku/>
              <w:wordWrap/>
              <w:overflowPunct/>
              <w:topLinePunct w:val="0"/>
              <w:autoSpaceDE/>
              <w:autoSpaceDN/>
              <w:bidi w:val="0"/>
              <w:adjustRightInd w:val="0"/>
              <w:snapToGrid w:val="0"/>
              <w:spacing w:line="320" w:lineRule="exact"/>
              <w:ind w:firstLine="420" w:firstLineChars="200"/>
              <w:jc w:val="both"/>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按照国家环境保护总局制定的《（环境保护图形标志）实施细则（试行）》（环监[1996]463号）的规定，在各排污口树立</w:t>
            </w:r>
            <w:r>
              <w:rPr>
                <w:rFonts w:hint="eastAsia" w:ascii="Times New Roman" w:hAnsi="Times New Roman" w:eastAsia="宋体" w:cs="Times New Roman"/>
                <w:color w:val="auto"/>
                <w:sz w:val="21"/>
                <w:szCs w:val="21"/>
                <w:highlight w:val="none"/>
                <w:lang w:val="en-US" w:eastAsia="zh-CN"/>
              </w:rPr>
              <w:t>相</w:t>
            </w:r>
            <w:r>
              <w:rPr>
                <w:rFonts w:hint="default" w:ascii="Times New Roman" w:hAnsi="Times New Roman" w:eastAsia="宋体" w:cs="Times New Roman"/>
                <w:color w:val="auto"/>
                <w:sz w:val="21"/>
                <w:szCs w:val="21"/>
                <w:highlight w:val="none"/>
                <w:lang w:val="en-US" w:eastAsia="zh-CN"/>
              </w:rPr>
              <w:t>应的环境保护图形标志牌，具体要求见表5-2。</w:t>
            </w:r>
          </w:p>
          <w:p w14:paraId="6331CB6E">
            <w:pPr>
              <w:keepNext w:val="0"/>
              <w:keepLines w:val="0"/>
              <w:suppressLineNumbers w:val="0"/>
              <w:autoSpaceDE w:val="0"/>
              <w:autoSpaceDN w:val="0"/>
              <w:adjustRightInd w:val="0"/>
              <w:snapToGrid w:val="0"/>
              <w:spacing w:before="0" w:beforeAutospacing="0" w:after="0" w:afterAutospacing="0"/>
              <w:ind w:left="0" w:right="0"/>
              <w:jc w:val="center"/>
              <w:rPr>
                <w:rFonts w:hint="eastAsia" w:ascii="黑体" w:hAnsi="黑体" w:eastAsia="黑体" w:cs="黑体"/>
                <w:b w:val="0"/>
                <w:bCs w:val="0"/>
                <w:color w:val="auto"/>
                <w:szCs w:val="21"/>
              </w:rPr>
            </w:pPr>
            <w:r>
              <w:rPr>
                <w:rFonts w:hint="eastAsia" w:ascii="黑体" w:hAnsi="黑体" w:eastAsia="黑体" w:cs="黑体"/>
                <w:b w:val="0"/>
                <w:bCs w:val="0"/>
                <w:color w:val="auto"/>
                <w:szCs w:val="21"/>
              </w:rPr>
              <w:t>表</w:t>
            </w:r>
            <w:r>
              <w:rPr>
                <w:rFonts w:hint="default" w:ascii="Times New Roman" w:hAnsi="Times New Roman" w:eastAsia="黑体" w:cs="Times New Roman"/>
                <w:b w:val="0"/>
                <w:bCs w:val="0"/>
                <w:color w:val="auto"/>
                <w:szCs w:val="21"/>
              </w:rPr>
              <w:t>5-2</w:t>
            </w:r>
            <w:r>
              <w:rPr>
                <w:rFonts w:hint="eastAsia" w:ascii="黑体" w:hAnsi="黑体" w:eastAsia="黑体" w:cs="黑体"/>
                <w:b w:val="0"/>
                <w:bCs w:val="0"/>
                <w:color w:val="auto"/>
                <w:szCs w:val="21"/>
                <w:lang w:val="en-US" w:eastAsia="zh-CN"/>
              </w:rPr>
              <w:t xml:space="preserve">  </w:t>
            </w:r>
            <w:r>
              <w:rPr>
                <w:rFonts w:hint="eastAsia" w:ascii="黑体" w:hAnsi="黑体" w:eastAsia="黑体" w:cs="黑体"/>
                <w:b w:val="0"/>
                <w:bCs w:val="0"/>
                <w:color w:val="auto"/>
                <w:szCs w:val="21"/>
              </w:rPr>
              <w:t>环境保护图形标志</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4"/>
              <w:gridCol w:w="2232"/>
              <w:gridCol w:w="1668"/>
              <w:gridCol w:w="2104"/>
            </w:tblGrid>
            <w:tr w14:paraId="34DD9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8" w:hRule="atLeast"/>
                <w:jc w:val="center"/>
              </w:trPr>
              <w:tc>
                <w:tcPr>
                  <w:tcW w:w="1624" w:type="dxa"/>
                  <w:tcBorders>
                    <w:tl2br w:val="nil"/>
                    <w:tr2bl w:val="nil"/>
                  </w:tcBorders>
                  <w:noWrap w:val="0"/>
                  <w:vAlign w:val="center"/>
                </w:tcPr>
                <w:p w14:paraId="6B945C91">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fldChar w:fldCharType="begin"/>
                  </w:r>
                  <w:r>
                    <w:rPr>
                      <w:rFonts w:hint="default" w:ascii="Times New Roman" w:hAnsi="Times New Roman" w:cs="Times New Roman"/>
                      <w:b w:val="0"/>
                      <w:bCs w:val="0"/>
                      <w:color w:val="auto"/>
                      <w:szCs w:val="21"/>
                    </w:rPr>
                    <w:instrText xml:space="preserve"> INCLUDEPICTURE  "http://www.biaozhi.net/enews/UploadFiles/smallImg/783.gif" \* MERGEFORMATINET </w:instrText>
                  </w:r>
                  <w:r>
                    <w:rPr>
                      <w:rFonts w:hint="default" w:ascii="Times New Roman" w:hAnsi="Times New Roman" w:cs="Times New Roman"/>
                      <w:b w:val="0"/>
                      <w:bCs w:val="0"/>
                      <w:color w:val="auto"/>
                      <w:szCs w:val="21"/>
                    </w:rPr>
                    <w:fldChar w:fldCharType="separate"/>
                  </w:r>
                  <w:r>
                    <w:rPr>
                      <w:rFonts w:hint="default" w:ascii="Times New Roman" w:hAnsi="Times New Roman" w:cs="Times New Roman"/>
                      <w:b w:val="0"/>
                      <w:bCs w:val="0"/>
                      <w:color w:val="auto"/>
                      <w:szCs w:val="21"/>
                    </w:rPr>
                    <w:drawing>
                      <wp:inline distT="0" distB="0" distL="114300" distR="114300">
                        <wp:extent cx="914400" cy="914400"/>
                        <wp:effectExtent l="0" t="0" r="0" b="0"/>
                        <wp:docPr id="203" name="图片 9"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9" descr="点击看大图及详细资料"/>
                                <pic:cNvPicPr>
                                  <a:picLocks noChangeAspect="1"/>
                                </pic:cNvPicPr>
                              </pic:nvPicPr>
                              <pic:blipFill>
                                <a:blip r:embed="rId30"/>
                                <a:stretch>
                                  <a:fillRect/>
                                </a:stretch>
                              </pic:blipFill>
                              <pic:spPr>
                                <a:xfrm>
                                  <a:off x="0" y="0"/>
                                  <a:ext cx="914400" cy="914400"/>
                                </a:xfrm>
                                <a:prstGeom prst="rect">
                                  <a:avLst/>
                                </a:prstGeom>
                                <a:noFill/>
                                <a:ln>
                                  <a:noFill/>
                                </a:ln>
                              </pic:spPr>
                            </pic:pic>
                          </a:graphicData>
                        </a:graphic>
                      </wp:inline>
                    </w:drawing>
                  </w:r>
                  <w:r>
                    <w:rPr>
                      <w:rFonts w:hint="default" w:ascii="Times New Roman" w:hAnsi="Times New Roman" w:cs="Times New Roman"/>
                      <w:b w:val="0"/>
                      <w:bCs w:val="0"/>
                      <w:color w:val="auto"/>
                      <w:szCs w:val="21"/>
                    </w:rPr>
                    <w:fldChar w:fldCharType="end"/>
                  </w:r>
                </w:p>
              </w:tc>
              <w:tc>
                <w:tcPr>
                  <w:tcW w:w="2232" w:type="dxa"/>
                  <w:tcBorders>
                    <w:tl2br w:val="nil"/>
                    <w:tr2bl w:val="nil"/>
                  </w:tcBorders>
                  <w:noWrap w:val="0"/>
                  <w:vAlign w:val="center"/>
                </w:tcPr>
                <w:p w14:paraId="0E2942A9">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简介：废气排放口</w:t>
                  </w:r>
                </w:p>
                <w:p w14:paraId="73679791">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lang w:eastAsia="zh-CN"/>
                    </w:rPr>
                  </w:pPr>
                  <w:r>
                    <w:rPr>
                      <w:rFonts w:hint="default" w:ascii="Times New Roman" w:hAnsi="Times New Roman" w:cs="Times New Roman"/>
                      <w:b w:val="0"/>
                      <w:bCs w:val="0"/>
                      <w:color w:val="auto"/>
                      <w:szCs w:val="21"/>
                    </w:rPr>
                    <w:t>提示图形符号</w:t>
                  </w:r>
                </w:p>
                <w:p w14:paraId="70D10E75">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lang w:eastAsia="zh-CN"/>
                    </w:rPr>
                  </w:pPr>
                  <w:r>
                    <w:rPr>
                      <w:rFonts w:hint="default" w:ascii="Times New Roman" w:hAnsi="Times New Roman" w:cs="Times New Roman"/>
                      <w:b w:val="0"/>
                      <w:bCs w:val="0"/>
                      <w:color w:val="auto"/>
                      <w:szCs w:val="21"/>
                    </w:rPr>
                    <w:t>废气排放口</w:t>
                  </w:r>
                </w:p>
                <w:p w14:paraId="70A08EB9">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表示废气向大气环境排放</w:t>
                  </w:r>
                </w:p>
              </w:tc>
              <w:tc>
                <w:tcPr>
                  <w:tcW w:w="1668" w:type="dxa"/>
                  <w:tcBorders>
                    <w:tl2br w:val="nil"/>
                    <w:tr2bl w:val="nil"/>
                  </w:tcBorders>
                  <w:noWrap w:val="0"/>
                  <w:vAlign w:val="center"/>
                </w:tcPr>
                <w:p w14:paraId="63139DE8">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fldChar w:fldCharType="begin"/>
                  </w:r>
                  <w:r>
                    <w:rPr>
                      <w:rFonts w:hint="default" w:ascii="Times New Roman" w:hAnsi="Times New Roman" w:cs="Times New Roman"/>
                      <w:b w:val="0"/>
                      <w:bCs w:val="0"/>
                      <w:color w:val="auto"/>
                      <w:szCs w:val="21"/>
                    </w:rPr>
                    <w:instrText xml:space="preserve"> INCLUDEPICTURE  "http://www.biaozhi.net/enews/UploadFiles/smallImg/785.gif" \* MERGEFORMATINET </w:instrText>
                  </w:r>
                  <w:r>
                    <w:rPr>
                      <w:rFonts w:hint="default" w:ascii="Times New Roman" w:hAnsi="Times New Roman" w:cs="Times New Roman"/>
                      <w:b w:val="0"/>
                      <w:bCs w:val="0"/>
                      <w:color w:val="auto"/>
                      <w:szCs w:val="21"/>
                    </w:rPr>
                    <w:fldChar w:fldCharType="separate"/>
                  </w:r>
                  <w:r>
                    <w:rPr>
                      <w:rFonts w:hint="default" w:ascii="Times New Roman" w:hAnsi="Times New Roman" w:cs="Times New Roman"/>
                      <w:b w:val="0"/>
                      <w:bCs w:val="0"/>
                      <w:color w:val="auto"/>
                      <w:szCs w:val="21"/>
                    </w:rPr>
                    <w:drawing>
                      <wp:inline distT="0" distB="0" distL="114300" distR="114300">
                        <wp:extent cx="914400" cy="914400"/>
                        <wp:effectExtent l="0" t="0" r="0" b="0"/>
                        <wp:docPr id="204" name="图片 10" descr="点击看大图及详细资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10" descr="点击看大图及详细资料"/>
                                <pic:cNvPicPr>
                                  <a:picLocks noChangeAspect="1"/>
                                </pic:cNvPicPr>
                              </pic:nvPicPr>
                              <pic:blipFill>
                                <a:blip r:embed="rId31"/>
                                <a:stretch>
                                  <a:fillRect/>
                                </a:stretch>
                              </pic:blipFill>
                              <pic:spPr>
                                <a:xfrm>
                                  <a:off x="0" y="0"/>
                                  <a:ext cx="914400" cy="914400"/>
                                </a:xfrm>
                                <a:prstGeom prst="rect">
                                  <a:avLst/>
                                </a:prstGeom>
                                <a:noFill/>
                                <a:ln>
                                  <a:noFill/>
                                </a:ln>
                              </pic:spPr>
                            </pic:pic>
                          </a:graphicData>
                        </a:graphic>
                      </wp:inline>
                    </w:drawing>
                  </w:r>
                  <w:r>
                    <w:rPr>
                      <w:rFonts w:hint="default" w:ascii="Times New Roman" w:hAnsi="Times New Roman" w:cs="Times New Roman"/>
                      <w:b w:val="0"/>
                      <w:bCs w:val="0"/>
                      <w:color w:val="auto"/>
                      <w:szCs w:val="21"/>
                    </w:rPr>
                    <w:fldChar w:fldCharType="end"/>
                  </w:r>
                </w:p>
              </w:tc>
              <w:tc>
                <w:tcPr>
                  <w:tcW w:w="2104" w:type="dxa"/>
                  <w:tcBorders>
                    <w:tl2br w:val="nil"/>
                    <w:tr2bl w:val="nil"/>
                  </w:tcBorders>
                  <w:noWrap w:val="0"/>
                  <w:vAlign w:val="center"/>
                </w:tcPr>
                <w:p w14:paraId="119E14D7">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简介：噪声排放源</w:t>
                  </w:r>
                </w:p>
                <w:p w14:paraId="5D48D232">
                  <w:pPr>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auto"/>
                      <w:szCs w:val="21"/>
                      <w:lang w:eastAsia="zh-CN"/>
                    </w:rPr>
                  </w:pPr>
                  <w:r>
                    <w:rPr>
                      <w:rFonts w:hint="default" w:ascii="Times New Roman" w:hAnsi="Times New Roman" w:cs="Times New Roman"/>
                      <w:b w:val="0"/>
                      <w:bCs w:val="0"/>
                      <w:color w:val="auto"/>
                      <w:szCs w:val="21"/>
                    </w:rPr>
                    <w:t>提示图形符号</w:t>
                  </w:r>
                </w:p>
                <w:p w14:paraId="2AC876E2">
                  <w:pPr>
                    <w:keepNext w:val="0"/>
                    <w:keepLines w:val="0"/>
                    <w:suppressLineNumbers w:val="0"/>
                    <w:spacing w:before="0" w:beforeAutospacing="0" w:after="0" w:afterAutospacing="0"/>
                    <w:ind w:left="0" w:right="0"/>
                    <w:rPr>
                      <w:rFonts w:hint="eastAsia" w:ascii="Times New Roman" w:hAnsi="Times New Roman" w:eastAsia="宋体" w:cs="Times New Roman"/>
                      <w:b w:val="0"/>
                      <w:bCs w:val="0"/>
                      <w:color w:val="auto"/>
                      <w:szCs w:val="21"/>
                      <w:lang w:eastAsia="zh-CN"/>
                    </w:rPr>
                  </w:pPr>
                  <w:r>
                    <w:rPr>
                      <w:rFonts w:hint="default" w:ascii="Times New Roman" w:hAnsi="Times New Roman" w:cs="Times New Roman"/>
                      <w:b w:val="0"/>
                      <w:bCs w:val="0"/>
                      <w:color w:val="auto"/>
                      <w:szCs w:val="21"/>
                    </w:rPr>
                    <w:t>噪声排放源</w:t>
                  </w:r>
                </w:p>
                <w:p w14:paraId="494C62FB">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表示噪声向外环境排放</w:t>
                  </w:r>
                </w:p>
              </w:tc>
            </w:tr>
            <w:tr w14:paraId="16A3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jc w:val="center"/>
              </w:trPr>
              <w:tc>
                <w:tcPr>
                  <w:tcW w:w="1624" w:type="dxa"/>
                  <w:tcBorders>
                    <w:tl2br w:val="nil"/>
                    <w:tr2bl w:val="nil"/>
                  </w:tcBorders>
                  <w:noWrap w:val="0"/>
                  <w:vAlign w:val="center"/>
                </w:tcPr>
                <w:p w14:paraId="2D48A450">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fldChar w:fldCharType="begin"/>
                  </w:r>
                  <w:r>
                    <w:rPr>
                      <w:rFonts w:hint="default" w:ascii="Times New Roman" w:hAnsi="Times New Roman" w:cs="Times New Roman"/>
                      <w:b w:val="0"/>
                      <w:bCs w:val="0"/>
                      <w:color w:val="auto"/>
                      <w:szCs w:val="21"/>
                    </w:rPr>
                    <w:instrText xml:space="preserve"> INCLUDEPICTURE  "H:\\环评报告\\Administrator\\AppData\\Roaming\\Tencent\\Users\\1049960459\\TIM\\WinTemp\\RichOle\\%255b2OM$Q~9VA%25603U0OK~8X)9(6.png" \* MERGEFORMATINET </w:instrText>
                  </w:r>
                  <w:r>
                    <w:rPr>
                      <w:rFonts w:hint="default" w:ascii="Times New Roman" w:hAnsi="Times New Roman" w:cs="Times New Roman"/>
                      <w:b w:val="0"/>
                      <w:bCs w:val="0"/>
                      <w:color w:val="auto"/>
                      <w:szCs w:val="21"/>
                    </w:rPr>
                    <w:fldChar w:fldCharType="separate"/>
                  </w:r>
                  <w:r>
                    <w:rPr>
                      <w:rFonts w:hint="default" w:ascii="Times New Roman" w:hAnsi="Times New Roman" w:cs="Times New Roman"/>
                      <w:b w:val="0"/>
                      <w:bCs w:val="0"/>
                      <w:color w:val="auto"/>
                      <w:szCs w:val="21"/>
                    </w:rPr>
                    <w:drawing>
                      <wp:inline distT="0" distB="0" distL="114300" distR="114300">
                        <wp:extent cx="914400" cy="914400"/>
                        <wp:effectExtent l="0" t="0" r="0" b="0"/>
                        <wp:docPr id="205" name="图片 11" descr="[2OM$Q~9VA`3U0OK~8X)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1" descr="[2OM$Q~9VA`3U0OK~8X)9(6"/>
                                <pic:cNvPicPr>
                                  <a:picLocks noChangeAspect="1"/>
                                </pic:cNvPicPr>
                              </pic:nvPicPr>
                              <pic:blipFill>
                                <a:blip r:embed="rId32"/>
                                <a:stretch>
                                  <a:fillRect/>
                                </a:stretch>
                              </pic:blipFill>
                              <pic:spPr>
                                <a:xfrm>
                                  <a:off x="0" y="0"/>
                                  <a:ext cx="914400" cy="914400"/>
                                </a:xfrm>
                                <a:prstGeom prst="rect">
                                  <a:avLst/>
                                </a:prstGeom>
                                <a:noFill/>
                                <a:ln>
                                  <a:noFill/>
                                </a:ln>
                              </pic:spPr>
                            </pic:pic>
                          </a:graphicData>
                        </a:graphic>
                      </wp:inline>
                    </w:drawing>
                  </w:r>
                  <w:r>
                    <w:rPr>
                      <w:rFonts w:hint="default" w:ascii="Times New Roman" w:hAnsi="Times New Roman" w:cs="Times New Roman"/>
                      <w:b w:val="0"/>
                      <w:bCs w:val="0"/>
                      <w:color w:val="auto"/>
                      <w:szCs w:val="21"/>
                    </w:rPr>
                    <w:fldChar w:fldCharType="end"/>
                  </w:r>
                </w:p>
              </w:tc>
              <w:tc>
                <w:tcPr>
                  <w:tcW w:w="2232" w:type="dxa"/>
                  <w:tcBorders>
                    <w:tl2br w:val="nil"/>
                    <w:tr2bl w:val="nil"/>
                  </w:tcBorders>
                  <w:noWrap w:val="0"/>
                  <w:vAlign w:val="center"/>
                </w:tcPr>
                <w:p w14:paraId="06EC17BE">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简介：一般固体废弃物</w:t>
                  </w:r>
                </w:p>
                <w:p w14:paraId="2F3024DB">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提示图形符号</w:t>
                  </w:r>
                </w:p>
                <w:p w14:paraId="7AD13732">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表示一般固体废弃物贮存、处置场</w:t>
                  </w:r>
                </w:p>
              </w:tc>
              <w:tc>
                <w:tcPr>
                  <w:tcW w:w="1668" w:type="dxa"/>
                  <w:tcBorders>
                    <w:tl2br w:val="nil"/>
                    <w:tr2bl w:val="nil"/>
                  </w:tcBorders>
                  <w:noWrap w:val="0"/>
                  <w:vAlign w:val="center"/>
                </w:tcPr>
                <w:p w14:paraId="42A98359">
                  <w:pPr>
                    <w:keepNext w:val="0"/>
                    <w:keepLines w:val="0"/>
                    <w:suppressLineNumbers w:val="0"/>
                    <w:spacing w:before="0" w:beforeAutospacing="0" w:after="0" w:afterAutospacing="0"/>
                    <w:ind w:left="0" w:right="0"/>
                    <w:rPr>
                      <w:rFonts w:hint="default" w:ascii="Times New Roman" w:hAnsi="Times New Roman" w:cs="Times New Roman"/>
                      <w:b w:val="0"/>
                      <w:bCs w:val="0"/>
                      <w:color w:val="auto"/>
                      <w:szCs w:val="21"/>
                    </w:rPr>
                  </w:pPr>
                  <w:r>
                    <w:rPr>
                      <w:rFonts w:hint="default"/>
                      <w:color w:val="auto"/>
                      <w:szCs w:val="20"/>
                    </w:rPr>
                    <w:drawing>
                      <wp:inline distT="0" distB="0" distL="114300" distR="114300">
                        <wp:extent cx="914400" cy="914400"/>
                        <wp:effectExtent l="0" t="0" r="0" b="0"/>
                        <wp:docPr id="10" name="图片 8" descr="W020230515591222963411"/>
                        <wp:cNvGraphicFramePr/>
                        <a:graphic xmlns:a="http://schemas.openxmlformats.org/drawingml/2006/main">
                          <a:graphicData uri="http://schemas.openxmlformats.org/drawingml/2006/picture">
                            <pic:pic xmlns:pic="http://schemas.openxmlformats.org/drawingml/2006/picture">
                              <pic:nvPicPr>
                                <pic:cNvPr id="10" name="图片 8" descr="W020230515591222963411"/>
                                <pic:cNvPicPr/>
                              </pic:nvPicPr>
                              <pic:blipFill>
                                <a:blip r:embed="rId33"/>
                                <a:srcRect b="46810"/>
                                <a:stretch>
                                  <a:fillRect/>
                                </a:stretch>
                              </pic:blipFill>
                              <pic:spPr>
                                <a:xfrm>
                                  <a:off x="0" y="0"/>
                                  <a:ext cx="914400" cy="914400"/>
                                </a:xfrm>
                                <a:prstGeom prst="rect">
                                  <a:avLst/>
                                </a:prstGeom>
                                <a:noFill/>
                                <a:ln>
                                  <a:noFill/>
                                </a:ln>
                              </pic:spPr>
                            </pic:pic>
                          </a:graphicData>
                        </a:graphic>
                      </wp:inline>
                    </w:drawing>
                  </w:r>
                </w:p>
              </w:tc>
              <w:tc>
                <w:tcPr>
                  <w:tcW w:w="2104" w:type="dxa"/>
                  <w:tcBorders>
                    <w:tl2br w:val="nil"/>
                    <w:tr2bl w:val="nil"/>
                  </w:tcBorders>
                  <w:noWrap w:val="0"/>
                  <w:vAlign w:val="center"/>
                </w:tcPr>
                <w:p w14:paraId="1A670DE1">
                  <w:pPr>
                    <w:keepNext w:val="0"/>
                    <w:keepLines w:val="0"/>
                    <w:suppressLineNumbers w:val="0"/>
                    <w:spacing w:before="0" w:beforeAutospacing="0" w:after="0" w:afterAutospacing="0"/>
                    <w:ind w:left="0" w:right="0"/>
                    <w:rPr>
                      <w:rFonts w:hint="eastAsia" w:cs="Times New Roman"/>
                      <w:b w:val="0"/>
                      <w:bCs w:val="0"/>
                      <w:color w:val="auto"/>
                      <w:szCs w:val="21"/>
                      <w:lang w:val="en-US" w:eastAsia="zh-CN"/>
                    </w:rPr>
                  </w:pPr>
                  <w:r>
                    <w:rPr>
                      <w:rFonts w:hint="eastAsia" w:cs="Times New Roman"/>
                      <w:b w:val="0"/>
                      <w:bCs w:val="0"/>
                      <w:color w:val="auto"/>
                      <w:szCs w:val="21"/>
                      <w:lang w:val="en-US" w:eastAsia="zh-CN"/>
                    </w:rPr>
                    <w:t>简介：危险废物</w:t>
                  </w:r>
                </w:p>
                <w:p w14:paraId="08EA79A0">
                  <w:pPr>
                    <w:pStyle w:val="31"/>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警告图形</w:t>
                  </w:r>
                </w:p>
                <w:p w14:paraId="45606ACD">
                  <w:pPr>
                    <w:pStyle w:val="31"/>
                    <w:rPr>
                      <w:rFonts w:hint="default"/>
                      <w:color w:val="auto"/>
                      <w:lang w:val="en-US" w:eastAsia="zh-CN"/>
                    </w:rPr>
                  </w:pPr>
                  <w:r>
                    <w:rPr>
                      <w:rFonts w:hint="default" w:ascii="Times New Roman" w:hAnsi="Times New Roman" w:cs="Times New Roman"/>
                      <w:color w:val="auto"/>
                      <w:sz w:val="21"/>
                      <w:szCs w:val="21"/>
                    </w:rPr>
                    <w:t>表示危险废物贮存、处置场</w:t>
                  </w:r>
                </w:p>
              </w:tc>
            </w:tr>
          </w:tbl>
          <w:p w14:paraId="3F5E2E1A">
            <w:pPr>
              <w:pStyle w:val="89"/>
              <w:numPr>
                <w:ilvl w:val="0"/>
                <w:numId w:val="0"/>
              </w:numPr>
              <w:suppressLineNumbers w:val="0"/>
              <w:spacing w:beforeAutospacing="0" w:afterAutospacing="0" w:line="240" w:lineRule="auto"/>
              <w:ind w:left="0" w:right="0" w:firstLine="420" w:firstLineChars="200"/>
              <w:rPr>
                <w:rFonts w:hint="default" w:ascii="Times New Roman" w:hAnsi="Times New Roman" w:eastAsia="宋体" w:cs="Times New Roman"/>
                <w:b w:val="0"/>
                <w:bCs w:val="0"/>
                <w:color w:val="auto"/>
                <w:szCs w:val="21"/>
              </w:rPr>
            </w:pPr>
            <w:r>
              <w:rPr>
                <w:rFonts w:hint="default" w:ascii="Times New Roman" w:hAnsi="Times New Roman" w:eastAsia="宋体" w:cs="Times New Roman"/>
                <w:b w:val="0"/>
                <w:bCs w:val="0"/>
                <w:color w:val="auto"/>
                <w:szCs w:val="21"/>
              </w:rPr>
              <w:t>3、管理监测信息公开</w:t>
            </w:r>
          </w:p>
          <w:p w14:paraId="7576D450">
            <w:pPr>
              <w:keepNext w:val="0"/>
              <w:keepLines w:val="0"/>
              <w:suppressLineNumbers w:val="0"/>
              <w:spacing w:before="0" w:beforeAutospacing="0" w:after="0" w:afterAutospacing="0"/>
              <w:ind w:left="0" w:right="0" w:firstLine="420" w:firstLineChars="200"/>
              <w:rPr>
                <w:rFonts w:hint="default" w:ascii="Times New Roman" w:hAnsi="Times New Roman" w:cs="Times New Roman"/>
                <w:b w:val="0"/>
                <w:bCs w:val="0"/>
                <w:color w:val="auto"/>
                <w:szCs w:val="21"/>
              </w:rPr>
            </w:pPr>
            <w:r>
              <w:rPr>
                <w:rFonts w:hint="default" w:ascii="Times New Roman" w:hAnsi="Times New Roman" w:cs="Times New Roman"/>
                <w:b w:val="0"/>
                <w:bCs w:val="0"/>
                <w:color w:val="auto"/>
                <w:szCs w:val="21"/>
              </w:rPr>
              <w:t>根据《企业环境信息依法披露管理办法》，企业应当按照准则编制年度环境信息依法披露报告和临时环境信息依法披露报告，并上传至企业环境信息依法披露系统，主要公开内容如下：</w:t>
            </w:r>
          </w:p>
          <w:p w14:paraId="41DB9D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default"/>
                <w:b w:val="0"/>
                <w:bCs w:val="0"/>
                <w:color w:val="auto"/>
                <w:szCs w:val="21"/>
              </w:rPr>
            </w:pPr>
            <w:r>
              <w:rPr>
                <w:rFonts w:hint="eastAsia"/>
                <w:b w:val="0"/>
                <w:bCs w:val="0"/>
                <w:color w:val="auto"/>
                <w:szCs w:val="21"/>
                <w:lang w:eastAsia="zh-CN"/>
              </w:rPr>
              <w:t>（</w:t>
            </w:r>
            <w:r>
              <w:rPr>
                <w:rFonts w:hint="eastAsia"/>
                <w:b w:val="0"/>
                <w:bCs w:val="0"/>
                <w:color w:val="auto"/>
                <w:szCs w:val="21"/>
              </w:rPr>
              <w:t>一）企业基本信息，包括企业生产和生态环境保护等方面的基础信息；</w:t>
            </w:r>
          </w:p>
          <w:p w14:paraId="4188B2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（二）企业环境管理信息，包括生态环境行政许可、环境保护税、环境污染责任保险、环保信用评价等方面的信息；</w:t>
            </w:r>
          </w:p>
          <w:p w14:paraId="5EBBCE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（三）污染物产生、治理与排放信息，包括污染防治设施，污染物排放，有毒有害物质排放，工业固体废物和危险废物产生、贮存、流向、利用、处置，自行监测等方面的信息；</w:t>
            </w:r>
          </w:p>
          <w:p w14:paraId="6B8C8D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（四）碳排放信息，包括排放量、排放设施等方面的信息；</w:t>
            </w:r>
          </w:p>
          <w:p w14:paraId="6F8A74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（五）生态环境应急信息，包括突发环境事件应急预案、重污染天气应急响应等方面的信息；</w:t>
            </w:r>
          </w:p>
          <w:p w14:paraId="250617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（六）生态环境违法信息；</w:t>
            </w:r>
          </w:p>
          <w:p w14:paraId="1CF61A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b w:val="0"/>
                <w:bCs w:val="0"/>
                <w:color w:val="auto"/>
                <w:szCs w:val="21"/>
              </w:rPr>
            </w:pPr>
            <w:r>
              <w:rPr>
                <w:rFonts w:hint="eastAsia"/>
                <w:b w:val="0"/>
                <w:bCs w:val="0"/>
                <w:color w:val="auto"/>
                <w:szCs w:val="21"/>
              </w:rPr>
              <w:t>（七）本年度临时环境信息依法披露情况；</w:t>
            </w:r>
          </w:p>
          <w:p w14:paraId="37B80F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firstLine="420" w:firstLineChars="200"/>
              <w:jc w:val="both"/>
              <w:textAlignment w:val="auto"/>
              <w:rPr>
                <w:rFonts w:hint="eastAsia" w:ascii="Times New Roman" w:hAnsi="Times New Roman" w:eastAsia="宋体" w:cs="Times New Roman"/>
                <w:color w:val="auto"/>
                <w:szCs w:val="21"/>
                <w:highlight w:val="none"/>
                <w:lang w:val="en-US" w:eastAsia="zh-CN"/>
              </w:rPr>
            </w:pPr>
            <w:r>
              <w:rPr>
                <w:rFonts w:hint="eastAsia"/>
                <w:b w:val="0"/>
                <w:bCs w:val="0"/>
                <w:color w:val="auto"/>
                <w:szCs w:val="21"/>
              </w:rPr>
              <w:t>（八）法律法规规定的其他环境信息</w:t>
            </w:r>
            <w:r>
              <w:rPr>
                <w:rFonts w:hint="default"/>
                <w:b w:val="0"/>
                <w:bCs w:val="0"/>
                <w:color w:val="auto"/>
                <w:szCs w:val="21"/>
              </w:rPr>
              <w:t>。</w:t>
            </w:r>
          </w:p>
          <w:p w14:paraId="22E63F9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szCs w:val="21"/>
                <w:highlight w:val="none"/>
                <w:lang w:val="en-US" w:eastAsia="zh-CN"/>
              </w:rPr>
            </w:pPr>
          </w:p>
          <w:p w14:paraId="0FCD985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szCs w:val="21"/>
                <w:highlight w:val="none"/>
                <w:lang w:val="en-US" w:eastAsia="zh-CN"/>
              </w:rPr>
            </w:pPr>
          </w:p>
          <w:p w14:paraId="11609539">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p>
          <w:p w14:paraId="61C66171">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p>
          <w:p w14:paraId="23FE4DF1">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p>
          <w:p w14:paraId="7A0CE39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p>
          <w:p w14:paraId="461445ED">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p>
          <w:p w14:paraId="743690F8">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p>
          <w:p w14:paraId="6317B0CB">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p>
          <w:p w14:paraId="0C30F7F3">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p>
          <w:p w14:paraId="4792D066">
            <w:pPr>
              <w:keepNext w:val="0"/>
              <w:keepLines w:val="0"/>
              <w:pageBreakBefore w:val="0"/>
              <w:widowControl w:val="0"/>
              <w:kinsoku/>
              <w:wordWrap/>
              <w:overflowPunct/>
              <w:topLinePunct w:val="0"/>
              <w:autoSpaceDE/>
              <w:autoSpaceDN/>
              <w:bidi w:val="0"/>
              <w:adjustRightInd w:val="0"/>
              <w:snapToGrid w:val="0"/>
              <w:spacing w:line="320" w:lineRule="exact"/>
              <w:jc w:val="both"/>
              <w:textAlignment w:val="auto"/>
              <w:rPr>
                <w:rFonts w:hint="default" w:ascii="Times New Roman" w:hAnsi="Times New Roman" w:eastAsia="宋体" w:cs="Times New Roman"/>
                <w:color w:val="auto"/>
                <w:szCs w:val="21"/>
                <w:highlight w:val="none"/>
                <w:lang w:val="en-US" w:eastAsia="zh-CN"/>
              </w:rPr>
            </w:pPr>
          </w:p>
        </w:tc>
      </w:tr>
    </w:tbl>
    <w:p w14:paraId="37D5C76A">
      <w:pPr>
        <w:pStyle w:val="19"/>
        <w:jc w:val="center"/>
        <w:outlineLvl w:val="0"/>
        <w:rPr>
          <w:rFonts w:hint="default" w:ascii="Times New Roman" w:hAnsi="Times New Roman" w:eastAsia="黑体" w:cs="Times New Roman"/>
          <w:snapToGrid w:val="0"/>
          <w:color w:val="auto"/>
          <w:sz w:val="30"/>
          <w:szCs w:val="30"/>
          <w:highlight w:val="none"/>
        </w:rPr>
      </w:pPr>
      <w:r>
        <w:rPr>
          <w:rFonts w:hint="default" w:ascii="Times New Roman" w:hAnsi="Times New Roman" w:cs="Times New Roman"/>
          <w:snapToGrid w:val="0"/>
          <w:color w:val="auto"/>
          <w:highlight w:val="none"/>
        </w:rPr>
        <w:br w:type="page"/>
      </w:r>
      <w:bookmarkStart w:id="17" w:name="_Toc4819"/>
      <w:r>
        <w:rPr>
          <w:rFonts w:hint="default" w:ascii="Times New Roman" w:hAnsi="Times New Roman" w:eastAsia="黑体" w:cs="Times New Roman"/>
          <w:snapToGrid w:val="0"/>
          <w:color w:val="auto"/>
          <w:sz w:val="30"/>
          <w:szCs w:val="30"/>
          <w:highlight w:val="none"/>
        </w:rPr>
        <w:t>六、结论</w:t>
      </w:r>
      <w:bookmarkEnd w:id="17"/>
    </w:p>
    <w:tbl>
      <w:tblPr>
        <w:tblStyle w:val="2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AF8F6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4941559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eastAsia="宋体" w:cs="Times New Roman"/>
                <w:b w:val="0"/>
                <w:bCs/>
                <w:color w:val="auto"/>
                <w:sz w:val="24"/>
                <w:szCs w:val="24"/>
                <w:highlight w:val="none"/>
                <w:lang w:val="en-US" w:eastAsia="zh-CN"/>
              </w:rPr>
              <w:t>从环境保护角度</w:t>
            </w:r>
            <w:r>
              <w:rPr>
                <w:rFonts w:hint="eastAsia" w:ascii="Times New Roman" w:hAnsi="Times New Roman" w:eastAsia="宋体" w:cs="Times New Roman"/>
                <w:b w:val="0"/>
                <w:bCs/>
                <w:color w:val="auto"/>
                <w:sz w:val="24"/>
                <w:szCs w:val="24"/>
                <w:highlight w:val="none"/>
                <w:lang w:val="en-US" w:eastAsia="zh-CN"/>
              </w:rPr>
              <w:t>分析</w:t>
            </w:r>
            <w:r>
              <w:rPr>
                <w:rFonts w:hint="default" w:ascii="Times New Roman" w:hAnsi="Times New Roman" w:eastAsia="宋体" w:cs="Times New Roman"/>
                <w:b w:val="0"/>
                <w:bCs/>
                <w:color w:val="auto"/>
                <w:sz w:val="24"/>
                <w:szCs w:val="24"/>
                <w:highlight w:val="none"/>
                <w:lang w:val="en-US" w:eastAsia="zh-CN"/>
              </w:rPr>
              <w:t>，</w:t>
            </w:r>
            <w:r>
              <w:rPr>
                <w:rFonts w:hint="eastAsia" w:ascii="Times New Roman" w:hAnsi="Times New Roman" w:eastAsia="宋体" w:cs="Times New Roman"/>
                <w:b w:val="0"/>
                <w:bCs/>
                <w:color w:val="auto"/>
                <w:sz w:val="24"/>
                <w:szCs w:val="24"/>
                <w:highlight w:val="none"/>
                <w:lang w:val="en-US" w:eastAsia="zh-CN"/>
              </w:rPr>
              <w:t>本</w:t>
            </w:r>
            <w:r>
              <w:rPr>
                <w:rFonts w:hint="default" w:ascii="Times New Roman" w:hAnsi="Times New Roman" w:eastAsia="宋体" w:cs="Times New Roman"/>
                <w:b w:val="0"/>
                <w:bCs/>
                <w:color w:val="auto"/>
                <w:sz w:val="24"/>
                <w:szCs w:val="24"/>
                <w:highlight w:val="none"/>
                <w:lang w:val="en-US" w:eastAsia="zh-CN"/>
              </w:rPr>
              <w:t>项目的建设是可行的。</w:t>
            </w:r>
          </w:p>
        </w:tc>
      </w:tr>
    </w:tbl>
    <w:p w14:paraId="67C3285D">
      <w:pPr>
        <w:rPr>
          <w:rFonts w:hint="default" w:ascii="Times New Roman" w:hAnsi="Times New Roman" w:cs="Times New Roman"/>
          <w:color w:val="auto"/>
          <w:highlight w:val="none"/>
        </w:rPr>
      </w:pPr>
    </w:p>
    <w:p w14:paraId="42109C36">
      <w:pPr>
        <w:rPr>
          <w:rFonts w:hint="default" w:ascii="Times New Roman" w:hAnsi="Times New Roman" w:cs="Times New Roman"/>
          <w:color w:val="auto"/>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00304472">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80" w:lineRule="auto"/>
        <w:textAlignment w:val="auto"/>
        <w:outlineLvl w:val="0"/>
        <w:rPr>
          <w:rFonts w:hint="default" w:ascii="Times New Roman" w:hAnsi="Times New Roman" w:eastAsia="黑体" w:cs="Times New Roman"/>
          <w:snapToGrid w:val="0"/>
          <w:color w:val="auto"/>
          <w:sz w:val="32"/>
          <w:szCs w:val="32"/>
          <w:highlight w:val="none"/>
        </w:rPr>
      </w:pPr>
      <w:bookmarkStart w:id="18" w:name="_Toc28200"/>
      <w:r>
        <w:rPr>
          <w:rFonts w:hint="default" w:ascii="Times New Roman" w:hAnsi="Times New Roman" w:eastAsia="黑体" w:cs="Times New Roman"/>
          <w:snapToGrid w:val="0"/>
          <w:color w:val="auto"/>
          <w:sz w:val="32"/>
          <w:szCs w:val="32"/>
          <w:highlight w:val="none"/>
        </w:rPr>
        <w:t>附表</w:t>
      </w:r>
      <w:bookmarkEnd w:id="18"/>
    </w:p>
    <w:p w14:paraId="634D5757">
      <w:pPr>
        <w:pStyle w:val="19"/>
        <w:keepNext w:val="0"/>
        <w:keepLines w:val="0"/>
        <w:pageBreakBefore w:val="0"/>
        <w:widowControl/>
        <w:kinsoku/>
        <w:wordWrap/>
        <w:overflowPunct/>
        <w:topLinePunct w:val="0"/>
        <w:autoSpaceDE/>
        <w:autoSpaceDN/>
        <w:bidi w:val="0"/>
        <w:adjustRightInd w:val="0"/>
        <w:snapToGrid w:val="0"/>
        <w:spacing w:before="0" w:beforeAutospacing="0" w:after="0" w:afterAutospacing="0" w:line="408" w:lineRule="auto"/>
        <w:jc w:val="center"/>
        <w:textAlignment w:val="auto"/>
        <w:outlineLvl w:val="9"/>
        <w:rPr>
          <w:rFonts w:hint="default" w:ascii="Times New Roman" w:hAnsi="Times New Roman" w:eastAsia="方正小标宋_GBK" w:cs="Times New Roman"/>
          <w:snapToGrid w:val="0"/>
          <w:color w:val="auto"/>
          <w:sz w:val="38"/>
          <w:szCs w:val="38"/>
          <w:highlight w:val="none"/>
        </w:rPr>
      </w:pPr>
      <w:bookmarkStart w:id="19" w:name="_Toc14665"/>
      <w:r>
        <w:rPr>
          <w:rFonts w:hint="default" w:ascii="Times New Roman" w:hAnsi="Times New Roman" w:eastAsia="方正小标宋_GBK" w:cs="Times New Roman"/>
          <w:snapToGrid w:val="0"/>
          <w:color w:val="auto"/>
          <w:sz w:val="38"/>
          <w:szCs w:val="38"/>
          <w:highlight w:val="none"/>
        </w:rPr>
        <w:t>建设项目污染物排放量汇总表</w:t>
      </w:r>
      <w:bookmarkEnd w:id="19"/>
    </w:p>
    <w:tbl>
      <w:tblPr>
        <w:tblStyle w:val="24"/>
        <w:tblW w:w="1378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311"/>
        <w:gridCol w:w="1665"/>
        <w:gridCol w:w="1275"/>
        <w:gridCol w:w="1680"/>
        <w:gridCol w:w="1530"/>
        <w:gridCol w:w="1785"/>
        <w:gridCol w:w="1625"/>
        <w:gridCol w:w="1329"/>
      </w:tblGrid>
      <w:tr w14:paraId="723F64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588" w:type="dxa"/>
            <w:tcBorders>
              <w:tl2br w:val="single" w:color="auto" w:sz="4" w:space="0"/>
            </w:tcBorders>
            <w:tcMar>
              <w:left w:w="28" w:type="dxa"/>
              <w:right w:w="28" w:type="dxa"/>
            </w:tcMar>
            <w:vAlign w:val="center"/>
          </w:tcPr>
          <w:p w14:paraId="4CB8DD46">
            <w:pPr>
              <w:pStyle w:val="53"/>
              <w:keepNext w:val="0"/>
              <w:keepLines w:val="0"/>
              <w:pageBreakBefore w:val="0"/>
              <w:widowControl w:val="0"/>
              <w:kinsoku/>
              <w:wordWrap/>
              <w:overflowPunct/>
              <w:topLinePunct w:val="0"/>
              <w:autoSpaceDE/>
              <w:autoSpaceDN/>
              <w:bidi w:val="0"/>
              <w:adjustRightInd w:val="0"/>
              <w:snapToGrid w:val="0"/>
              <w:spacing w:line="240" w:lineRule="auto"/>
              <w:jc w:val="righ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326CA610">
            <w:pPr>
              <w:pStyle w:val="53"/>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311" w:type="dxa"/>
            <w:tcMar>
              <w:left w:w="28" w:type="dxa"/>
              <w:right w:w="28" w:type="dxa"/>
            </w:tcMar>
            <w:vAlign w:val="center"/>
          </w:tcPr>
          <w:p w14:paraId="6A60DC25">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665" w:type="dxa"/>
            <w:tcMar>
              <w:left w:w="28" w:type="dxa"/>
              <w:right w:w="28" w:type="dxa"/>
            </w:tcMar>
            <w:vAlign w:val="center"/>
          </w:tcPr>
          <w:p w14:paraId="5BAB5524">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5E1AC3DC">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275" w:type="dxa"/>
            <w:tcMar>
              <w:left w:w="28" w:type="dxa"/>
              <w:right w:w="28" w:type="dxa"/>
            </w:tcMar>
            <w:vAlign w:val="center"/>
          </w:tcPr>
          <w:p w14:paraId="24B6558C">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61320229">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080C037F">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1680" w:type="dxa"/>
            <w:tcMar>
              <w:left w:w="28" w:type="dxa"/>
              <w:right w:w="28" w:type="dxa"/>
            </w:tcMar>
            <w:vAlign w:val="center"/>
          </w:tcPr>
          <w:p w14:paraId="2668BBDA">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60C0B86E">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530" w:type="dxa"/>
            <w:tcMar>
              <w:left w:w="28" w:type="dxa"/>
              <w:right w:w="28" w:type="dxa"/>
            </w:tcMar>
            <w:vAlign w:val="center"/>
          </w:tcPr>
          <w:p w14:paraId="29D4E2CE">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65FED527">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785" w:type="dxa"/>
            <w:tcMar>
              <w:left w:w="28" w:type="dxa"/>
              <w:right w:w="28" w:type="dxa"/>
            </w:tcMar>
            <w:vAlign w:val="center"/>
          </w:tcPr>
          <w:p w14:paraId="2A8EF33E">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7CA1EB19">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625" w:type="dxa"/>
            <w:tcMar>
              <w:left w:w="28" w:type="dxa"/>
              <w:right w:w="28" w:type="dxa"/>
            </w:tcMar>
            <w:vAlign w:val="center"/>
          </w:tcPr>
          <w:p w14:paraId="2D5D063E">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7915B88F">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329" w:type="dxa"/>
            <w:tcMar>
              <w:left w:w="28" w:type="dxa"/>
              <w:right w:w="28" w:type="dxa"/>
            </w:tcMar>
            <w:vAlign w:val="center"/>
          </w:tcPr>
          <w:p w14:paraId="7630BCCD">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0CCADE83">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44F4EC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vAlign w:val="center"/>
          </w:tcPr>
          <w:p w14:paraId="194E49FA">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1311" w:type="dxa"/>
            <w:vAlign w:val="center"/>
          </w:tcPr>
          <w:p w14:paraId="60B3B436">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 w:val="21"/>
                <w:szCs w:val="21"/>
                <w:highlight w:val="none"/>
                <w:lang w:val="en-US" w:eastAsia="zh-CN" w:bidi="ar-SA"/>
              </w:rPr>
              <w:t>烟尘</w:t>
            </w:r>
          </w:p>
        </w:tc>
        <w:tc>
          <w:tcPr>
            <w:tcW w:w="1665" w:type="dxa"/>
            <w:vAlign w:val="center"/>
          </w:tcPr>
          <w:p w14:paraId="43AC62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cs="Times New Roman"/>
                <w:snapToGrid w:val="0"/>
                <w:color w:val="auto"/>
                <w:kern w:val="21"/>
                <w:szCs w:val="21"/>
                <w:highlight w:val="none"/>
                <w:lang w:val="en-US" w:eastAsia="zh-CN"/>
              </w:rPr>
              <w:t>0.358</w:t>
            </w:r>
            <w:r>
              <w:rPr>
                <w:rFonts w:hint="default" w:ascii="Times New Roman" w:hAnsi="Times New Roman" w:cs="Times New Roman"/>
                <w:snapToGrid w:val="0"/>
                <w:color w:val="auto"/>
                <w:kern w:val="21"/>
                <w:szCs w:val="21"/>
                <w:highlight w:val="none"/>
                <w:lang w:val="en-US" w:eastAsia="zh-CN"/>
              </w:rPr>
              <w:t>t/a</w:t>
            </w:r>
          </w:p>
        </w:tc>
        <w:tc>
          <w:tcPr>
            <w:tcW w:w="1275" w:type="dxa"/>
            <w:vAlign w:val="center"/>
          </w:tcPr>
          <w:p w14:paraId="5DD02E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cs="Times New Roman"/>
                <w:snapToGrid w:val="0"/>
                <w:color w:val="auto"/>
                <w:kern w:val="21"/>
                <w:szCs w:val="21"/>
                <w:highlight w:val="none"/>
                <w:lang w:val="en-US" w:eastAsia="zh-CN"/>
              </w:rPr>
              <w:t>37.7</w:t>
            </w:r>
            <w:r>
              <w:rPr>
                <w:rFonts w:hint="default" w:ascii="Times New Roman" w:hAnsi="Times New Roman" w:cs="Times New Roman"/>
                <w:snapToGrid w:val="0"/>
                <w:color w:val="auto"/>
                <w:kern w:val="21"/>
                <w:szCs w:val="21"/>
                <w:highlight w:val="none"/>
                <w:lang w:val="en-US" w:eastAsia="zh-CN"/>
              </w:rPr>
              <w:t>t/a</w:t>
            </w:r>
          </w:p>
        </w:tc>
        <w:tc>
          <w:tcPr>
            <w:tcW w:w="1680" w:type="dxa"/>
            <w:vAlign w:val="center"/>
          </w:tcPr>
          <w:p w14:paraId="0DECEA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745E78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cs="Times New Roman"/>
                <w:snapToGrid w:val="0"/>
                <w:color w:val="auto"/>
                <w:kern w:val="21"/>
                <w:szCs w:val="21"/>
                <w:highlight w:val="none"/>
                <w:lang w:val="en-US" w:eastAsia="zh-CN"/>
              </w:rPr>
              <w:t>0.099</w:t>
            </w:r>
            <w:r>
              <w:rPr>
                <w:rFonts w:hint="default" w:ascii="Times New Roman" w:hAnsi="Times New Roman" w:cs="Times New Roman"/>
                <w:snapToGrid w:val="0"/>
                <w:color w:val="auto"/>
                <w:kern w:val="21"/>
                <w:szCs w:val="21"/>
                <w:highlight w:val="none"/>
                <w:lang w:val="en-US" w:eastAsia="zh-CN"/>
              </w:rPr>
              <w:t>t/a</w:t>
            </w:r>
          </w:p>
        </w:tc>
        <w:tc>
          <w:tcPr>
            <w:tcW w:w="1785" w:type="dxa"/>
            <w:vAlign w:val="center"/>
          </w:tcPr>
          <w:p w14:paraId="43D0F35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cs="Times New Roman"/>
                <w:snapToGrid w:val="0"/>
                <w:color w:val="auto"/>
                <w:kern w:val="21"/>
                <w:szCs w:val="21"/>
                <w:highlight w:val="none"/>
                <w:lang w:val="en-US" w:eastAsia="zh-CN"/>
              </w:rPr>
              <w:t>//</w:t>
            </w:r>
          </w:p>
        </w:tc>
        <w:tc>
          <w:tcPr>
            <w:tcW w:w="1625" w:type="dxa"/>
            <w:vAlign w:val="center"/>
          </w:tcPr>
          <w:p w14:paraId="110480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cs="Times New Roman"/>
                <w:snapToGrid w:val="0"/>
                <w:color w:val="auto"/>
                <w:kern w:val="21"/>
                <w:szCs w:val="21"/>
                <w:highlight w:val="none"/>
                <w:lang w:val="en-US" w:eastAsia="zh-CN"/>
              </w:rPr>
              <w:t>0.457</w:t>
            </w:r>
            <w:r>
              <w:rPr>
                <w:rFonts w:hint="default" w:ascii="Times New Roman" w:hAnsi="Times New Roman" w:cs="Times New Roman"/>
                <w:snapToGrid w:val="0"/>
                <w:color w:val="auto"/>
                <w:kern w:val="21"/>
                <w:szCs w:val="21"/>
                <w:highlight w:val="none"/>
                <w:lang w:val="en-US" w:eastAsia="zh-CN"/>
              </w:rPr>
              <w:t>t/a</w:t>
            </w:r>
          </w:p>
        </w:tc>
        <w:tc>
          <w:tcPr>
            <w:tcW w:w="1329" w:type="dxa"/>
            <w:vAlign w:val="center"/>
          </w:tcPr>
          <w:p w14:paraId="35B0D24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eastAsia" w:cs="Times New Roman"/>
                <w:snapToGrid w:val="0"/>
                <w:color w:val="auto"/>
                <w:kern w:val="21"/>
                <w:szCs w:val="21"/>
                <w:highlight w:val="none"/>
                <w:lang w:val="en-US" w:eastAsia="zh-CN"/>
              </w:rPr>
              <w:t>+0.099</w:t>
            </w:r>
          </w:p>
        </w:tc>
      </w:tr>
      <w:tr w14:paraId="47DAA1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14:paraId="5FDC9156">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p>
        </w:tc>
        <w:tc>
          <w:tcPr>
            <w:tcW w:w="1311" w:type="dxa"/>
            <w:vAlign w:val="center"/>
          </w:tcPr>
          <w:p w14:paraId="469388C9">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二氧化硫</w:t>
            </w:r>
          </w:p>
        </w:tc>
        <w:tc>
          <w:tcPr>
            <w:tcW w:w="1665" w:type="dxa"/>
            <w:vAlign w:val="center"/>
          </w:tcPr>
          <w:p w14:paraId="5291136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0.11</w:t>
            </w:r>
            <w:r>
              <w:rPr>
                <w:rFonts w:hint="default" w:ascii="Times New Roman" w:hAnsi="Times New Roman" w:cs="Times New Roman"/>
                <w:snapToGrid w:val="0"/>
                <w:color w:val="auto"/>
                <w:kern w:val="21"/>
                <w:szCs w:val="21"/>
                <w:highlight w:val="none"/>
                <w:lang w:val="en-US" w:eastAsia="zh-CN"/>
              </w:rPr>
              <w:t>t/a</w:t>
            </w:r>
          </w:p>
        </w:tc>
        <w:tc>
          <w:tcPr>
            <w:tcW w:w="1275" w:type="dxa"/>
            <w:vAlign w:val="center"/>
          </w:tcPr>
          <w:p w14:paraId="64B14B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45.44</w:t>
            </w:r>
            <w:r>
              <w:rPr>
                <w:rFonts w:hint="default" w:ascii="Times New Roman" w:hAnsi="Times New Roman" w:cs="Times New Roman"/>
                <w:snapToGrid w:val="0"/>
                <w:color w:val="auto"/>
                <w:kern w:val="21"/>
                <w:szCs w:val="21"/>
                <w:highlight w:val="none"/>
                <w:lang w:val="en-US" w:eastAsia="zh-CN"/>
              </w:rPr>
              <w:t>t/a</w:t>
            </w:r>
          </w:p>
        </w:tc>
        <w:tc>
          <w:tcPr>
            <w:tcW w:w="1680" w:type="dxa"/>
            <w:vAlign w:val="center"/>
          </w:tcPr>
          <w:p w14:paraId="17826D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2FBA87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0.02</w:t>
            </w:r>
            <w:r>
              <w:rPr>
                <w:rFonts w:hint="default" w:ascii="Times New Roman" w:hAnsi="Times New Roman" w:cs="Times New Roman"/>
                <w:snapToGrid w:val="0"/>
                <w:color w:val="auto"/>
                <w:kern w:val="21"/>
                <w:szCs w:val="21"/>
                <w:highlight w:val="none"/>
                <w:lang w:val="en-US" w:eastAsia="zh-CN"/>
              </w:rPr>
              <w:t>t/a</w:t>
            </w:r>
          </w:p>
        </w:tc>
        <w:tc>
          <w:tcPr>
            <w:tcW w:w="1785" w:type="dxa"/>
            <w:vAlign w:val="center"/>
          </w:tcPr>
          <w:p w14:paraId="1AF90C9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w:t>
            </w:r>
          </w:p>
        </w:tc>
        <w:tc>
          <w:tcPr>
            <w:tcW w:w="1625" w:type="dxa"/>
            <w:vAlign w:val="center"/>
          </w:tcPr>
          <w:p w14:paraId="557188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0.13</w:t>
            </w:r>
            <w:r>
              <w:rPr>
                <w:rFonts w:hint="default" w:ascii="Times New Roman" w:hAnsi="Times New Roman" w:cs="Times New Roman"/>
                <w:snapToGrid w:val="0"/>
                <w:color w:val="auto"/>
                <w:kern w:val="21"/>
                <w:szCs w:val="21"/>
                <w:highlight w:val="none"/>
                <w:lang w:val="en-US" w:eastAsia="zh-CN"/>
              </w:rPr>
              <w:t>t/a</w:t>
            </w:r>
          </w:p>
        </w:tc>
        <w:tc>
          <w:tcPr>
            <w:tcW w:w="1329" w:type="dxa"/>
            <w:vAlign w:val="center"/>
          </w:tcPr>
          <w:p w14:paraId="202B4C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+0.02</w:t>
            </w:r>
          </w:p>
        </w:tc>
      </w:tr>
      <w:tr w14:paraId="7FC8C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14:paraId="07CF7972">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p>
        </w:tc>
        <w:tc>
          <w:tcPr>
            <w:tcW w:w="1311" w:type="dxa"/>
            <w:vAlign w:val="center"/>
          </w:tcPr>
          <w:p w14:paraId="3FC94F02">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氮氧化物</w:t>
            </w:r>
          </w:p>
        </w:tc>
        <w:tc>
          <w:tcPr>
            <w:tcW w:w="1665" w:type="dxa"/>
            <w:vAlign w:val="center"/>
          </w:tcPr>
          <w:p w14:paraId="22BDD0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1.932</w:t>
            </w:r>
            <w:r>
              <w:rPr>
                <w:rFonts w:hint="default" w:ascii="Times New Roman" w:hAnsi="Times New Roman" w:cs="Times New Roman"/>
                <w:snapToGrid w:val="0"/>
                <w:color w:val="auto"/>
                <w:kern w:val="21"/>
                <w:szCs w:val="21"/>
                <w:highlight w:val="none"/>
                <w:lang w:val="en-US" w:eastAsia="zh-CN"/>
              </w:rPr>
              <w:t>t/a</w:t>
            </w:r>
          </w:p>
        </w:tc>
        <w:tc>
          <w:tcPr>
            <w:tcW w:w="1275" w:type="dxa"/>
            <w:vAlign w:val="center"/>
          </w:tcPr>
          <w:p w14:paraId="3258115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21.328</w:t>
            </w:r>
            <w:r>
              <w:rPr>
                <w:rFonts w:hint="default" w:ascii="Times New Roman" w:hAnsi="Times New Roman" w:cs="Times New Roman"/>
                <w:snapToGrid w:val="0"/>
                <w:color w:val="auto"/>
                <w:kern w:val="21"/>
                <w:szCs w:val="21"/>
                <w:highlight w:val="none"/>
                <w:lang w:val="en-US" w:eastAsia="zh-CN"/>
              </w:rPr>
              <w:t>t/a</w:t>
            </w:r>
          </w:p>
        </w:tc>
        <w:tc>
          <w:tcPr>
            <w:tcW w:w="1680" w:type="dxa"/>
            <w:vAlign w:val="center"/>
          </w:tcPr>
          <w:p w14:paraId="6F298E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2A40B7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0.99</w:t>
            </w:r>
            <w:r>
              <w:rPr>
                <w:rFonts w:hint="default" w:ascii="Times New Roman" w:hAnsi="Times New Roman" w:cs="Times New Roman"/>
                <w:snapToGrid w:val="0"/>
                <w:color w:val="auto"/>
                <w:kern w:val="21"/>
                <w:szCs w:val="21"/>
                <w:highlight w:val="none"/>
                <w:lang w:val="en-US" w:eastAsia="zh-CN"/>
              </w:rPr>
              <w:t>t/a</w:t>
            </w:r>
          </w:p>
        </w:tc>
        <w:tc>
          <w:tcPr>
            <w:tcW w:w="1785" w:type="dxa"/>
            <w:vAlign w:val="center"/>
          </w:tcPr>
          <w:p w14:paraId="4A1D78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w:t>
            </w:r>
          </w:p>
        </w:tc>
        <w:tc>
          <w:tcPr>
            <w:tcW w:w="1625" w:type="dxa"/>
            <w:vAlign w:val="center"/>
          </w:tcPr>
          <w:p w14:paraId="5F7BDF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2.922</w:t>
            </w:r>
            <w:r>
              <w:rPr>
                <w:rFonts w:hint="default" w:ascii="Times New Roman" w:hAnsi="Times New Roman" w:cs="Times New Roman"/>
                <w:snapToGrid w:val="0"/>
                <w:color w:val="auto"/>
                <w:kern w:val="21"/>
                <w:szCs w:val="21"/>
                <w:highlight w:val="none"/>
                <w:lang w:val="en-US" w:eastAsia="zh-CN"/>
              </w:rPr>
              <w:t>t/a</w:t>
            </w:r>
          </w:p>
        </w:tc>
        <w:tc>
          <w:tcPr>
            <w:tcW w:w="1329" w:type="dxa"/>
            <w:vAlign w:val="center"/>
          </w:tcPr>
          <w:p w14:paraId="70A4BC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eastAsia="zh-CN"/>
              </w:rPr>
            </w:pPr>
            <w:r>
              <w:rPr>
                <w:rFonts w:hint="eastAsia" w:cs="Times New Roman"/>
                <w:snapToGrid w:val="0"/>
                <w:color w:val="auto"/>
                <w:kern w:val="21"/>
                <w:szCs w:val="21"/>
                <w:highlight w:val="none"/>
                <w:lang w:val="en-US" w:eastAsia="zh-CN"/>
              </w:rPr>
              <w:t>+0.99</w:t>
            </w:r>
          </w:p>
        </w:tc>
      </w:tr>
      <w:tr w14:paraId="64F6DB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restart"/>
            <w:vAlign w:val="center"/>
          </w:tcPr>
          <w:p w14:paraId="2E64E335">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311" w:type="dxa"/>
            <w:vAlign w:val="center"/>
          </w:tcPr>
          <w:p w14:paraId="7656B51D">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Cs w:val="21"/>
                <w:highlight w:val="none"/>
                <w:lang w:val="en-US" w:eastAsia="zh-CN"/>
              </w:rPr>
              <w:t>COD</w:t>
            </w:r>
          </w:p>
        </w:tc>
        <w:tc>
          <w:tcPr>
            <w:tcW w:w="1665" w:type="dxa"/>
            <w:vAlign w:val="center"/>
          </w:tcPr>
          <w:p w14:paraId="344573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275" w:type="dxa"/>
            <w:vAlign w:val="center"/>
          </w:tcPr>
          <w:p w14:paraId="0DD950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80" w:type="dxa"/>
            <w:vAlign w:val="center"/>
          </w:tcPr>
          <w:p w14:paraId="233CC8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0A020B3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785" w:type="dxa"/>
            <w:vAlign w:val="center"/>
          </w:tcPr>
          <w:p w14:paraId="55B625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25" w:type="dxa"/>
            <w:vAlign w:val="center"/>
          </w:tcPr>
          <w:p w14:paraId="11EA37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329" w:type="dxa"/>
            <w:vAlign w:val="center"/>
          </w:tcPr>
          <w:p w14:paraId="533E3F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r>
      <w:tr w14:paraId="45EF0F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Merge w:val="continue"/>
            <w:vAlign w:val="center"/>
          </w:tcPr>
          <w:p w14:paraId="403022B6">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p>
        </w:tc>
        <w:tc>
          <w:tcPr>
            <w:tcW w:w="1311" w:type="dxa"/>
            <w:vAlign w:val="center"/>
          </w:tcPr>
          <w:p w14:paraId="1A891F97">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eastAsia="宋体" w:cs="Times New Roman"/>
                <w:snapToGrid w:val="0"/>
                <w:color w:val="auto"/>
                <w:kern w:val="21"/>
                <w:szCs w:val="21"/>
                <w:highlight w:val="none"/>
                <w:lang w:val="en-US" w:eastAsia="zh-CN"/>
              </w:rPr>
              <w:t>氨氮</w:t>
            </w:r>
          </w:p>
        </w:tc>
        <w:tc>
          <w:tcPr>
            <w:tcW w:w="1665" w:type="dxa"/>
            <w:vAlign w:val="center"/>
          </w:tcPr>
          <w:p w14:paraId="7E8D7D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275" w:type="dxa"/>
            <w:vAlign w:val="center"/>
          </w:tcPr>
          <w:p w14:paraId="22D3A8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80" w:type="dxa"/>
            <w:vAlign w:val="center"/>
          </w:tcPr>
          <w:p w14:paraId="339AD3E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479E58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785" w:type="dxa"/>
            <w:vAlign w:val="center"/>
          </w:tcPr>
          <w:p w14:paraId="212D19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625" w:type="dxa"/>
            <w:vAlign w:val="center"/>
          </w:tcPr>
          <w:p w14:paraId="5EB4E4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329" w:type="dxa"/>
            <w:vAlign w:val="center"/>
          </w:tcPr>
          <w:p w14:paraId="2C2325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r>
      <w:tr w14:paraId="0DC779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588" w:type="dxa"/>
            <w:vAlign w:val="center"/>
          </w:tcPr>
          <w:p w14:paraId="5E619F05">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5BDF975B">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1311" w:type="dxa"/>
            <w:vAlign w:val="center"/>
          </w:tcPr>
          <w:p w14:paraId="7F890A5F">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cs="Times New Roman"/>
                <w:snapToGrid w:val="0"/>
                <w:color w:val="auto"/>
                <w:kern w:val="21"/>
                <w:sz w:val="21"/>
                <w:szCs w:val="21"/>
                <w:highlight w:val="none"/>
                <w:lang w:val="en-US" w:eastAsia="zh-CN" w:bidi="ar-SA"/>
              </w:rPr>
              <w:t>废离子交换树脂</w:t>
            </w:r>
          </w:p>
        </w:tc>
        <w:tc>
          <w:tcPr>
            <w:tcW w:w="1665" w:type="dxa"/>
            <w:vAlign w:val="center"/>
          </w:tcPr>
          <w:p w14:paraId="7FA3A9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275" w:type="dxa"/>
            <w:vAlign w:val="center"/>
          </w:tcPr>
          <w:p w14:paraId="7EDF30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lang w:val="en-US" w:eastAsia="zh-CN"/>
              </w:rPr>
              <w:t>//</w:t>
            </w:r>
          </w:p>
        </w:tc>
        <w:tc>
          <w:tcPr>
            <w:tcW w:w="1680" w:type="dxa"/>
            <w:vAlign w:val="center"/>
          </w:tcPr>
          <w:p w14:paraId="56030D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Cs w:val="21"/>
                <w:highlight w:val="none"/>
                <w:lang w:val="en-US" w:eastAsia="zh-CN"/>
              </w:rPr>
              <w:t>//</w:t>
            </w:r>
          </w:p>
        </w:tc>
        <w:tc>
          <w:tcPr>
            <w:tcW w:w="1530" w:type="dxa"/>
            <w:vAlign w:val="center"/>
          </w:tcPr>
          <w:p w14:paraId="498EDF83">
            <w:pPr>
              <w:pStyle w:val="53"/>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0.2</w:t>
            </w:r>
            <w:r>
              <w:rPr>
                <w:rFonts w:hint="default" w:ascii="Times New Roman" w:hAnsi="Times New Roman" w:cs="Times New Roman"/>
                <w:snapToGrid w:val="0"/>
                <w:color w:val="auto"/>
                <w:kern w:val="21"/>
                <w:szCs w:val="21"/>
                <w:highlight w:val="none"/>
                <w:lang w:val="en-US" w:eastAsia="zh-CN"/>
              </w:rPr>
              <w:t>t/a</w:t>
            </w:r>
          </w:p>
        </w:tc>
        <w:tc>
          <w:tcPr>
            <w:tcW w:w="1785" w:type="dxa"/>
            <w:vAlign w:val="center"/>
          </w:tcPr>
          <w:p w14:paraId="558967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snapToGrid w:val="0"/>
                <w:color w:val="auto"/>
                <w:kern w:val="21"/>
                <w:szCs w:val="21"/>
                <w:highlight w:val="none"/>
                <w:lang w:val="en-US"/>
              </w:rPr>
            </w:pPr>
            <w:r>
              <w:rPr>
                <w:rFonts w:hint="default" w:ascii="Times New Roman" w:hAnsi="Times New Roman" w:cs="Times New Roman"/>
                <w:snapToGrid w:val="0"/>
                <w:color w:val="auto"/>
                <w:kern w:val="21"/>
                <w:szCs w:val="21"/>
                <w:highlight w:val="none"/>
                <w:lang w:val="en-US" w:eastAsia="zh-CN"/>
              </w:rPr>
              <w:t>//</w:t>
            </w:r>
          </w:p>
        </w:tc>
        <w:tc>
          <w:tcPr>
            <w:tcW w:w="1625" w:type="dxa"/>
            <w:vAlign w:val="center"/>
          </w:tcPr>
          <w:p w14:paraId="3886E1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Cs w:val="21"/>
                <w:highlight w:val="none"/>
                <w:lang w:val="en-US" w:eastAsia="zh-CN"/>
              </w:rPr>
              <w:t>0.2</w:t>
            </w:r>
            <w:r>
              <w:rPr>
                <w:rFonts w:hint="default" w:ascii="Times New Roman" w:hAnsi="Times New Roman" w:cs="Times New Roman"/>
                <w:snapToGrid w:val="0"/>
                <w:color w:val="auto"/>
                <w:kern w:val="21"/>
                <w:szCs w:val="21"/>
                <w:highlight w:val="none"/>
                <w:lang w:val="en-US" w:eastAsia="zh-CN"/>
              </w:rPr>
              <w:t>t/a</w:t>
            </w:r>
          </w:p>
        </w:tc>
        <w:tc>
          <w:tcPr>
            <w:tcW w:w="1329" w:type="dxa"/>
            <w:vAlign w:val="center"/>
          </w:tcPr>
          <w:p w14:paraId="3111259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r>
              <w:rPr>
                <w:rFonts w:hint="eastAsia" w:cs="Times New Roman"/>
                <w:snapToGrid w:val="0"/>
                <w:color w:val="auto"/>
                <w:kern w:val="21"/>
                <w:szCs w:val="21"/>
                <w:highlight w:val="none"/>
                <w:lang w:val="en-US" w:eastAsia="zh-CN"/>
              </w:rPr>
              <w:t>0.2</w:t>
            </w:r>
            <w:r>
              <w:rPr>
                <w:rFonts w:hint="default" w:ascii="Times New Roman" w:hAnsi="Times New Roman" w:cs="Times New Roman"/>
                <w:snapToGrid w:val="0"/>
                <w:color w:val="auto"/>
                <w:kern w:val="21"/>
                <w:szCs w:val="21"/>
                <w:highlight w:val="none"/>
                <w:lang w:val="en-US" w:eastAsia="zh-CN"/>
              </w:rPr>
              <w:t>t/a</w:t>
            </w:r>
          </w:p>
        </w:tc>
      </w:tr>
    </w:tbl>
    <w:p w14:paraId="5E08D677">
      <w:pPr>
        <w:pStyle w:val="53"/>
        <w:spacing w:before="192" w:beforeLines="80" w:after="24"/>
        <w:jc w:val="left"/>
        <w:rPr>
          <w:rFonts w:hint="default" w:ascii="Times New Roman" w:hAnsi="Times New Roman" w:cs="Times New Roman"/>
          <w:snapToGrid w:val="0"/>
          <w:color w:val="auto"/>
          <w:spacing w:val="-16"/>
          <w:kern w:val="21"/>
          <w:szCs w:val="21"/>
          <w:highlight w:val="none"/>
        </w:rPr>
      </w:pPr>
      <w:r>
        <w:rPr>
          <w:rFonts w:hint="default" w:ascii="Times New Roman" w:hAnsi="Times New Roman" w:cs="Times New Roman"/>
          <w:snapToGrid w:val="0"/>
          <w:color w:val="auto"/>
          <w:kern w:val="21"/>
          <w:szCs w:val="21"/>
          <w:highlight w:val="none"/>
        </w:rPr>
        <w:t>注：</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p>
    <w:p w14:paraId="74E96CEB">
      <w:pPr>
        <w:rPr>
          <w:rFonts w:hint="default" w:ascii="Times New Roman" w:hAnsi="Times New Roman" w:cs="Times New Roman"/>
          <w:snapToGrid w:val="0"/>
          <w:color w:val="auto"/>
          <w:spacing w:val="-16"/>
          <w:kern w:val="21"/>
          <w:szCs w:val="21"/>
          <w:highlight w:val="none"/>
        </w:rPr>
      </w:pPr>
    </w:p>
    <w:p w14:paraId="7B79AC1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color w:val="auto"/>
          <w:lang w:eastAsia="zh-CN"/>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20" w:name="_Toc17851"/>
    </w:p>
    <w:bookmarkEnd w:id="20"/>
    <w:p w14:paraId="70A01F20">
      <w:pPr>
        <w:rPr>
          <w:rFonts w:hint="default"/>
          <w:color w:val="auto"/>
          <w:lang w:val="en-US" w:eastAsia="zh-CN"/>
        </w:rPr>
      </w:pPr>
    </w:p>
    <w:sectPr>
      <w:footerReference r:id="rId8" w:type="default"/>
      <w:pgSz w:w="11906" w:h="16838"/>
      <w:pgMar w:top="283" w:right="283" w:bottom="0" w:left="283" w:header="851" w:footer="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Microsoft JhengHei"/>
    <w:panose1 w:val="02010601000000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楷体_GB2312">
    <w:altName w:val="楷体"/>
    <w:panose1 w:val="02010609030000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000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88809">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41C24">
    <w:pPr>
      <w:pStyle w:val="16"/>
      <w:framePr w:wrap="around" w:vAnchor="text" w:hAnchor="margin" w:xAlign="center" w:y="1"/>
      <w:rPr>
        <w:rStyle w:val="28"/>
      </w:rPr>
    </w:pPr>
    <w:r>
      <w:fldChar w:fldCharType="begin"/>
    </w:r>
    <w:r>
      <w:rPr>
        <w:rStyle w:val="28"/>
      </w:rPr>
      <w:instrText xml:space="preserve">PAGE  </w:instrText>
    </w:r>
    <w:r>
      <w:fldChar w:fldCharType="end"/>
    </w:r>
  </w:p>
  <w:p w14:paraId="0F31FFEF">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D9AE9">
    <w:pPr>
      <w:pStyle w:val="1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5030">
    <w:pPr>
      <w:pStyle w:val="16"/>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DCD8C">
    <w:pPr>
      <w:pStyle w:val="16"/>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posOffset>2679065</wp:posOffset>
              </wp:positionH>
              <wp:positionV relativeFrom="paragraph">
                <wp:posOffset>-86360</wp:posOffset>
              </wp:positionV>
              <wp:extent cx="257810" cy="202565"/>
              <wp:effectExtent l="0" t="0" r="0" b="0"/>
              <wp:wrapNone/>
              <wp:docPr id="188" name="文本框 188"/>
              <wp:cNvGraphicFramePr/>
              <a:graphic xmlns:a="http://schemas.openxmlformats.org/drawingml/2006/main">
                <a:graphicData uri="http://schemas.microsoft.com/office/word/2010/wordprocessingShape">
                  <wps:wsp>
                    <wps:cNvSpPr txBox="1"/>
                    <wps:spPr>
                      <a:xfrm>
                        <a:off x="0" y="0"/>
                        <a:ext cx="257810" cy="2025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0ACE0B">
                          <w:pPr>
                            <w:pStyle w:val="16"/>
                            <w:jc w:val="both"/>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10.95pt;margin-top:-6.8pt;height:15.95pt;width:20.3pt;mso-position-horizontal-relative:margin;z-index:251661312;mso-width-relative:page;mso-height-relative:page;" filled="f" stroked="f" coordsize="21600,21600" o:gfxdata="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iN6ttkAAAAKAQAADwAAAAAAAAABACAAAAAiAAAAZHJzL2Rv&#10;d25yZXYueG1sUEsBAhQAFAAAAAgAh07iQGutu+c5AgAAZQQAAA4AAAAAAAAAAQAgAAAAKAEAAGRy&#10;cy9lMm9Eb2MueG1sUEsFBgAAAAAGAAYAWQEAANMFAAAAAA==&#10;">
              <v:fill on="f" focussize="0,0"/>
              <v:stroke on="f" weight="0.5pt"/>
              <v:imagedata o:title=""/>
              <o:lock v:ext="edit" aspectratio="f"/>
              <v:textbox inset="0mm,0mm,0mm,0mm">
                <w:txbxContent>
                  <w:p w14:paraId="5F0ACE0B">
                    <w:pPr>
                      <w:pStyle w:val="16"/>
                      <w:jc w:val="both"/>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EA23B">
    <w:pPr>
      <w:pStyle w:val="1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FCBB28"/>
    <w:multiLevelType w:val="singleLevel"/>
    <w:tmpl w:val="F1FCBB28"/>
    <w:lvl w:ilvl="0" w:tentative="0">
      <w:start w:val="2"/>
      <w:numFmt w:val="decimal"/>
      <w:suff w:val="nothing"/>
      <w:lvlText w:val="%1、"/>
      <w:lvlJc w:val="left"/>
    </w:lvl>
  </w:abstractNum>
  <w:abstractNum w:abstractNumId="1">
    <w:nsid w:val="00000000"/>
    <w:multiLevelType w:val="multilevel"/>
    <w:tmpl w:val="00000000"/>
    <w:lvl w:ilvl="0" w:tentative="0">
      <w:start w:val="1"/>
      <w:numFmt w:val="none"/>
      <w:suff w:val="nothing"/>
      <w:lvlText w:val="第一章"/>
      <w:lvlJc w:val="left"/>
      <w:pPr>
        <w:ind w:left="0" w:firstLine="397"/>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6"/>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62407EF"/>
    <w:multiLevelType w:val="singleLevel"/>
    <w:tmpl w:val="362407EF"/>
    <w:lvl w:ilvl="0" w:tentative="0">
      <w:start w:val="1"/>
      <w:numFmt w:val="decimal"/>
      <w:pStyle w:val="89"/>
      <w:suff w:val="nothing"/>
      <w:lvlText w:val="%1、"/>
      <w:lvlJc w:val="left"/>
    </w:lvl>
  </w:abstractNum>
  <w:abstractNum w:abstractNumId="3">
    <w:nsid w:val="3B1459FB"/>
    <w:multiLevelType w:val="singleLevel"/>
    <w:tmpl w:val="3B1459FB"/>
    <w:lvl w:ilvl="0" w:tentative="0">
      <w:start w:val="1"/>
      <w:numFmt w:val="decimal"/>
      <w:lvlText w:val="%1."/>
      <w:lvlJc w:val="left"/>
      <w:pPr>
        <w:tabs>
          <w:tab w:val="left" w:pos="312"/>
        </w:tabs>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270BE1"/>
    <w:rsid w:val="00FE2230"/>
    <w:rsid w:val="0147301D"/>
    <w:rsid w:val="018F049F"/>
    <w:rsid w:val="01CA216C"/>
    <w:rsid w:val="022644A3"/>
    <w:rsid w:val="022B1413"/>
    <w:rsid w:val="02311421"/>
    <w:rsid w:val="02441F1E"/>
    <w:rsid w:val="039B3705"/>
    <w:rsid w:val="03CD1A9F"/>
    <w:rsid w:val="0438197B"/>
    <w:rsid w:val="04B72A7E"/>
    <w:rsid w:val="04BB5274"/>
    <w:rsid w:val="04C279A3"/>
    <w:rsid w:val="054E6E7B"/>
    <w:rsid w:val="05600E1D"/>
    <w:rsid w:val="057648ED"/>
    <w:rsid w:val="05864302"/>
    <w:rsid w:val="0591199C"/>
    <w:rsid w:val="059845C0"/>
    <w:rsid w:val="05BC1DCB"/>
    <w:rsid w:val="06021ED4"/>
    <w:rsid w:val="06340EE0"/>
    <w:rsid w:val="065546FA"/>
    <w:rsid w:val="06DB509F"/>
    <w:rsid w:val="076D15CF"/>
    <w:rsid w:val="077422B9"/>
    <w:rsid w:val="0777672F"/>
    <w:rsid w:val="07CF0DF1"/>
    <w:rsid w:val="07D611D9"/>
    <w:rsid w:val="08412609"/>
    <w:rsid w:val="086C2477"/>
    <w:rsid w:val="089D6BEC"/>
    <w:rsid w:val="092C7268"/>
    <w:rsid w:val="099472E7"/>
    <w:rsid w:val="09A727B4"/>
    <w:rsid w:val="0A4E22FB"/>
    <w:rsid w:val="0A4F76B2"/>
    <w:rsid w:val="0A815B89"/>
    <w:rsid w:val="0AC736EC"/>
    <w:rsid w:val="0B9E7886"/>
    <w:rsid w:val="0BA61553"/>
    <w:rsid w:val="0C010153"/>
    <w:rsid w:val="0CC632E2"/>
    <w:rsid w:val="0D2F37B2"/>
    <w:rsid w:val="0D5E61C3"/>
    <w:rsid w:val="0E395649"/>
    <w:rsid w:val="0EFD0E46"/>
    <w:rsid w:val="0F890533"/>
    <w:rsid w:val="0FD0391B"/>
    <w:rsid w:val="0FD66A5C"/>
    <w:rsid w:val="0FDA4AD5"/>
    <w:rsid w:val="0FE03B0E"/>
    <w:rsid w:val="10184954"/>
    <w:rsid w:val="101E796A"/>
    <w:rsid w:val="10452A88"/>
    <w:rsid w:val="107F6F93"/>
    <w:rsid w:val="10B5746F"/>
    <w:rsid w:val="10EC4C27"/>
    <w:rsid w:val="111404D6"/>
    <w:rsid w:val="111A38EF"/>
    <w:rsid w:val="11750F97"/>
    <w:rsid w:val="11A007F3"/>
    <w:rsid w:val="12045226"/>
    <w:rsid w:val="12DF376F"/>
    <w:rsid w:val="12EA1DE5"/>
    <w:rsid w:val="12EB782C"/>
    <w:rsid w:val="13524791"/>
    <w:rsid w:val="136A10B9"/>
    <w:rsid w:val="13C221AE"/>
    <w:rsid w:val="13DE2317"/>
    <w:rsid w:val="14405FD5"/>
    <w:rsid w:val="146B3B47"/>
    <w:rsid w:val="14EB5267"/>
    <w:rsid w:val="14EF5D19"/>
    <w:rsid w:val="15150AFB"/>
    <w:rsid w:val="153D2A99"/>
    <w:rsid w:val="15F83460"/>
    <w:rsid w:val="1625664B"/>
    <w:rsid w:val="167C3914"/>
    <w:rsid w:val="169057D1"/>
    <w:rsid w:val="16C25C89"/>
    <w:rsid w:val="16C26358"/>
    <w:rsid w:val="16C84C99"/>
    <w:rsid w:val="16D04261"/>
    <w:rsid w:val="16F65B54"/>
    <w:rsid w:val="17325D54"/>
    <w:rsid w:val="17606A5A"/>
    <w:rsid w:val="176B1995"/>
    <w:rsid w:val="177D585E"/>
    <w:rsid w:val="17D32096"/>
    <w:rsid w:val="17D61B12"/>
    <w:rsid w:val="17DE3219"/>
    <w:rsid w:val="17FA3BC2"/>
    <w:rsid w:val="18033286"/>
    <w:rsid w:val="18153CE9"/>
    <w:rsid w:val="18190A2B"/>
    <w:rsid w:val="18506475"/>
    <w:rsid w:val="18CA609F"/>
    <w:rsid w:val="18CB33BC"/>
    <w:rsid w:val="195F5F86"/>
    <w:rsid w:val="19B25567"/>
    <w:rsid w:val="19B47496"/>
    <w:rsid w:val="19B9169A"/>
    <w:rsid w:val="19DC3FCF"/>
    <w:rsid w:val="19DC4392"/>
    <w:rsid w:val="19DD12BB"/>
    <w:rsid w:val="1A3C2EBB"/>
    <w:rsid w:val="1A7D7D69"/>
    <w:rsid w:val="1AB1287D"/>
    <w:rsid w:val="1B316012"/>
    <w:rsid w:val="1B824538"/>
    <w:rsid w:val="1BC8714D"/>
    <w:rsid w:val="1BE97299"/>
    <w:rsid w:val="1C105CC9"/>
    <w:rsid w:val="1D2000D1"/>
    <w:rsid w:val="1E0B686C"/>
    <w:rsid w:val="1E3E73CA"/>
    <w:rsid w:val="1F282554"/>
    <w:rsid w:val="1F7F4EB3"/>
    <w:rsid w:val="1F8359DC"/>
    <w:rsid w:val="1FF64400"/>
    <w:rsid w:val="20586E69"/>
    <w:rsid w:val="20C20786"/>
    <w:rsid w:val="21451F5F"/>
    <w:rsid w:val="21471490"/>
    <w:rsid w:val="215D246D"/>
    <w:rsid w:val="217171B2"/>
    <w:rsid w:val="21771A13"/>
    <w:rsid w:val="219B1348"/>
    <w:rsid w:val="21C32917"/>
    <w:rsid w:val="21C83B7A"/>
    <w:rsid w:val="21FF2093"/>
    <w:rsid w:val="222C2BC1"/>
    <w:rsid w:val="226A7B95"/>
    <w:rsid w:val="227F1A47"/>
    <w:rsid w:val="22A90270"/>
    <w:rsid w:val="22B96749"/>
    <w:rsid w:val="22FB6227"/>
    <w:rsid w:val="23466363"/>
    <w:rsid w:val="23636F06"/>
    <w:rsid w:val="2377009E"/>
    <w:rsid w:val="2383602E"/>
    <w:rsid w:val="23C30A9D"/>
    <w:rsid w:val="23ED1676"/>
    <w:rsid w:val="23F22B8C"/>
    <w:rsid w:val="240A1149"/>
    <w:rsid w:val="24122CEE"/>
    <w:rsid w:val="24232C08"/>
    <w:rsid w:val="2434545E"/>
    <w:rsid w:val="24D14011"/>
    <w:rsid w:val="25EF740B"/>
    <w:rsid w:val="260C7250"/>
    <w:rsid w:val="26B56E2E"/>
    <w:rsid w:val="270716BD"/>
    <w:rsid w:val="27124612"/>
    <w:rsid w:val="2747656B"/>
    <w:rsid w:val="279D22BD"/>
    <w:rsid w:val="280E51F1"/>
    <w:rsid w:val="281A0EA7"/>
    <w:rsid w:val="284D302B"/>
    <w:rsid w:val="2854761F"/>
    <w:rsid w:val="28C450BA"/>
    <w:rsid w:val="28D948BF"/>
    <w:rsid w:val="291C47AB"/>
    <w:rsid w:val="295E568A"/>
    <w:rsid w:val="297A7E50"/>
    <w:rsid w:val="29E31A54"/>
    <w:rsid w:val="2A2F6DF7"/>
    <w:rsid w:val="2A34079D"/>
    <w:rsid w:val="2A752F2D"/>
    <w:rsid w:val="2AC71D42"/>
    <w:rsid w:val="2AC96E61"/>
    <w:rsid w:val="2B083239"/>
    <w:rsid w:val="2B676DA5"/>
    <w:rsid w:val="2B956DFA"/>
    <w:rsid w:val="2C6B2E46"/>
    <w:rsid w:val="2CC8062C"/>
    <w:rsid w:val="2CF170E1"/>
    <w:rsid w:val="2D094A77"/>
    <w:rsid w:val="2D3A3E2C"/>
    <w:rsid w:val="2D5B3DB6"/>
    <w:rsid w:val="2D736C6D"/>
    <w:rsid w:val="2D920AC6"/>
    <w:rsid w:val="2DAA0AE3"/>
    <w:rsid w:val="2DC01BA9"/>
    <w:rsid w:val="2DE75E62"/>
    <w:rsid w:val="2DFA5DCD"/>
    <w:rsid w:val="2E426687"/>
    <w:rsid w:val="2E512F4D"/>
    <w:rsid w:val="2E61559A"/>
    <w:rsid w:val="2EA73A95"/>
    <w:rsid w:val="2EF17758"/>
    <w:rsid w:val="2F734223"/>
    <w:rsid w:val="2F9429FF"/>
    <w:rsid w:val="2FEE50F3"/>
    <w:rsid w:val="302B680E"/>
    <w:rsid w:val="306E2AE6"/>
    <w:rsid w:val="307543BC"/>
    <w:rsid w:val="30D1240A"/>
    <w:rsid w:val="31532D34"/>
    <w:rsid w:val="317071E6"/>
    <w:rsid w:val="31B14174"/>
    <w:rsid w:val="31C32EBE"/>
    <w:rsid w:val="3226005B"/>
    <w:rsid w:val="322E468E"/>
    <w:rsid w:val="3243161E"/>
    <w:rsid w:val="327B2096"/>
    <w:rsid w:val="329D6E25"/>
    <w:rsid w:val="32A46191"/>
    <w:rsid w:val="32A51FEF"/>
    <w:rsid w:val="32B76AFA"/>
    <w:rsid w:val="33003678"/>
    <w:rsid w:val="330F07D0"/>
    <w:rsid w:val="33811E5B"/>
    <w:rsid w:val="33857B1D"/>
    <w:rsid w:val="33AD2BD0"/>
    <w:rsid w:val="33E12E33"/>
    <w:rsid w:val="33F466CC"/>
    <w:rsid w:val="33FD0E35"/>
    <w:rsid w:val="347274A1"/>
    <w:rsid w:val="34BE2568"/>
    <w:rsid w:val="351F0979"/>
    <w:rsid w:val="3529091B"/>
    <w:rsid w:val="35494B7A"/>
    <w:rsid w:val="355B54E0"/>
    <w:rsid w:val="356814A4"/>
    <w:rsid w:val="35810F21"/>
    <w:rsid w:val="35954D78"/>
    <w:rsid w:val="35F96AB4"/>
    <w:rsid w:val="363A4058"/>
    <w:rsid w:val="364E2639"/>
    <w:rsid w:val="36942465"/>
    <w:rsid w:val="36BC7A9A"/>
    <w:rsid w:val="36C84CD2"/>
    <w:rsid w:val="36CD2D6F"/>
    <w:rsid w:val="36E5036B"/>
    <w:rsid w:val="37804211"/>
    <w:rsid w:val="37CF18B8"/>
    <w:rsid w:val="38AA527D"/>
    <w:rsid w:val="38BD051D"/>
    <w:rsid w:val="38C85394"/>
    <w:rsid w:val="39170A16"/>
    <w:rsid w:val="392B1D49"/>
    <w:rsid w:val="39F46DB9"/>
    <w:rsid w:val="3A544AEC"/>
    <w:rsid w:val="3A8D1AED"/>
    <w:rsid w:val="3A8E37E4"/>
    <w:rsid w:val="3A927A12"/>
    <w:rsid w:val="3AA719E7"/>
    <w:rsid w:val="3AC43A86"/>
    <w:rsid w:val="3B087646"/>
    <w:rsid w:val="3B4B3D2E"/>
    <w:rsid w:val="3B4F3BB5"/>
    <w:rsid w:val="3B57257C"/>
    <w:rsid w:val="3B6F19D9"/>
    <w:rsid w:val="3B977AE1"/>
    <w:rsid w:val="3BDC0FD0"/>
    <w:rsid w:val="3C272D89"/>
    <w:rsid w:val="3C9F11E4"/>
    <w:rsid w:val="3CCC5366"/>
    <w:rsid w:val="3CD56241"/>
    <w:rsid w:val="3CEC6D04"/>
    <w:rsid w:val="3D007B53"/>
    <w:rsid w:val="3D6A18BA"/>
    <w:rsid w:val="3D857A52"/>
    <w:rsid w:val="3DAB552F"/>
    <w:rsid w:val="3DB91CCE"/>
    <w:rsid w:val="3DFF03C5"/>
    <w:rsid w:val="3E15609F"/>
    <w:rsid w:val="3E78424B"/>
    <w:rsid w:val="3F11184D"/>
    <w:rsid w:val="3F175F8A"/>
    <w:rsid w:val="3FB6359A"/>
    <w:rsid w:val="3FB77CCB"/>
    <w:rsid w:val="3FBA255F"/>
    <w:rsid w:val="3FE452B3"/>
    <w:rsid w:val="400420D2"/>
    <w:rsid w:val="40764075"/>
    <w:rsid w:val="40CC31ED"/>
    <w:rsid w:val="40FD796C"/>
    <w:rsid w:val="41213B57"/>
    <w:rsid w:val="4125620A"/>
    <w:rsid w:val="416404C6"/>
    <w:rsid w:val="4190531E"/>
    <w:rsid w:val="41B73E9E"/>
    <w:rsid w:val="42051E29"/>
    <w:rsid w:val="425C4502"/>
    <w:rsid w:val="426624C3"/>
    <w:rsid w:val="426E79CE"/>
    <w:rsid w:val="42935686"/>
    <w:rsid w:val="42E908C7"/>
    <w:rsid w:val="42F557D1"/>
    <w:rsid w:val="43853578"/>
    <w:rsid w:val="44510CF4"/>
    <w:rsid w:val="4471690F"/>
    <w:rsid w:val="447B0668"/>
    <w:rsid w:val="448E0268"/>
    <w:rsid w:val="44AA5931"/>
    <w:rsid w:val="44BB570B"/>
    <w:rsid w:val="44DD23EE"/>
    <w:rsid w:val="45942067"/>
    <w:rsid w:val="45AB0C2C"/>
    <w:rsid w:val="46006D50"/>
    <w:rsid w:val="464473C4"/>
    <w:rsid w:val="467F2C7A"/>
    <w:rsid w:val="46B9236C"/>
    <w:rsid w:val="46DB13AA"/>
    <w:rsid w:val="470F30CC"/>
    <w:rsid w:val="4770374F"/>
    <w:rsid w:val="47D12C7F"/>
    <w:rsid w:val="481A0B59"/>
    <w:rsid w:val="483E4152"/>
    <w:rsid w:val="485C4DCE"/>
    <w:rsid w:val="487C3923"/>
    <w:rsid w:val="48A544C3"/>
    <w:rsid w:val="492472EC"/>
    <w:rsid w:val="49696171"/>
    <w:rsid w:val="49E92558"/>
    <w:rsid w:val="4A2808DB"/>
    <w:rsid w:val="4A484B2F"/>
    <w:rsid w:val="4A57286A"/>
    <w:rsid w:val="4ACC5BD9"/>
    <w:rsid w:val="4AED6BE2"/>
    <w:rsid w:val="4B0648B8"/>
    <w:rsid w:val="4BBA0128"/>
    <w:rsid w:val="4BDE3E16"/>
    <w:rsid w:val="4C0837D8"/>
    <w:rsid w:val="4C2672DA"/>
    <w:rsid w:val="4C435CB3"/>
    <w:rsid w:val="4C746E76"/>
    <w:rsid w:val="4C7818BA"/>
    <w:rsid w:val="4C85574F"/>
    <w:rsid w:val="4D205AF0"/>
    <w:rsid w:val="4D467EC5"/>
    <w:rsid w:val="4D810EFD"/>
    <w:rsid w:val="4DA22FE4"/>
    <w:rsid w:val="4DAD5BF0"/>
    <w:rsid w:val="4DCA32CE"/>
    <w:rsid w:val="4DCA79EC"/>
    <w:rsid w:val="4E073001"/>
    <w:rsid w:val="4E8D1CB5"/>
    <w:rsid w:val="4ED37498"/>
    <w:rsid w:val="4F8D1DDB"/>
    <w:rsid w:val="4FCA0BA5"/>
    <w:rsid w:val="50D2474B"/>
    <w:rsid w:val="50E1644B"/>
    <w:rsid w:val="51136BBE"/>
    <w:rsid w:val="513677A7"/>
    <w:rsid w:val="5147420C"/>
    <w:rsid w:val="519531C9"/>
    <w:rsid w:val="51972E41"/>
    <w:rsid w:val="528060BE"/>
    <w:rsid w:val="52BD255F"/>
    <w:rsid w:val="52D15D94"/>
    <w:rsid w:val="52FD6C63"/>
    <w:rsid w:val="533A442F"/>
    <w:rsid w:val="538D4CE0"/>
    <w:rsid w:val="53B70462"/>
    <w:rsid w:val="53EC68AA"/>
    <w:rsid w:val="542E54F3"/>
    <w:rsid w:val="54635C38"/>
    <w:rsid w:val="54717DB0"/>
    <w:rsid w:val="549332C4"/>
    <w:rsid w:val="549F6194"/>
    <w:rsid w:val="554409B8"/>
    <w:rsid w:val="55AC6E9A"/>
    <w:rsid w:val="55DB5FB8"/>
    <w:rsid w:val="5683297C"/>
    <w:rsid w:val="56C409B8"/>
    <w:rsid w:val="56DF6C95"/>
    <w:rsid w:val="56F00EA2"/>
    <w:rsid w:val="571407D2"/>
    <w:rsid w:val="57492765"/>
    <w:rsid w:val="574A2392"/>
    <w:rsid w:val="57B35702"/>
    <w:rsid w:val="57C2639A"/>
    <w:rsid w:val="57E042A9"/>
    <w:rsid w:val="57F31103"/>
    <w:rsid w:val="588E0972"/>
    <w:rsid w:val="58AD5A20"/>
    <w:rsid w:val="58C249DB"/>
    <w:rsid w:val="5935709E"/>
    <w:rsid w:val="59BB7D9D"/>
    <w:rsid w:val="59C7413C"/>
    <w:rsid w:val="59D273CB"/>
    <w:rsid w:val="59F62F63"/>
    <w:rsid w:val="5A25179B"/>
    <w:rsid w:val="5A253763"/>
    <w:rsid w:val="5A2A46CB"/>
    <w:rsid w:val="5A7013AB"/>
    <w:rsid w:val="5AA233D8"/>
    <w:rsid w:val="5AB3432F"/>
    <w:rsid w:val="5ACB37B8"/>
    <w:rsid w:val="5B6576DC"/>
    <w:rsid w:val="5B8878EC"/>
    <w:rsid w:val="5B967841"/>
    <w:rsid w:val="5BD86328"/>
    <w:rsid w:val="5C1D55FB"/>
    <w:rsid w:val="5C9B2DE8"/>
    <w:rsid w:val="5C9D73D6"/>
    <w:rsid w:val="5CF76AE6"/>
    <w:rsid w:val="5D182C09"/>
    <w:rsid w:val="5D501920"/>
    <w:rsid w:val="5D551F62"/>
    <w:rsid w:val="5D9E282E"/>
    <w:rsid w:val="5D9F7013"/>
    <w:rsid w:val="5DB12963"/>
    <w:rsid w:val="5DD943A7"/>
    <w:rsid w:val="5E3D2C1E"/>
    <w:rsid w:val="5EA82982"/>
    <w:rsid w:val="5EC0115A"/>
    <w:rsid w:val="5EEC01A1"/>
    <w:rsid w:val="5F075064"/>
    <w:rsid w:val="5FC351E9"/>
    <w:rsid w:val="60247E3E"/>
    <w:rsid w:val="60374611"/>
    <w:rsid w:val="60632B69"/>
    <w:rsid w:val="60CB4864"/>
    <w:rsid w:val="6172122A"/>
    <w:rsid w:val="61914D9C"/>
    <w:rsid w:val="6205595E"/>
    <w:rsid w:val="62360AE9"/>
    <w:rsid w:val="62683FE2"/>
    <w:rsid w:val="630E60CF"/>
    <w:rsid w:val="63BD58EA"/>
    <w:rsid w:val="63E32972"/>
    <w:rsid w:val="63FC52F1"/>
    <w:rsid w:val="642A35B3"/>
    <w:rsid w:val="642C4FF0"/>
    <w:rsid w:val="644929A9"/>
    <w:rsid w:val="644F7208"/>
    <w:rsid w:val="6455690A"/>
    <w:rsid w:val="645C1BE0"/>
    <w:rsid w:val="646F011E"/>
    <w:rsid w:val="648D5F82"/>
    <w:rsid w:val="6515681C"/>
    <w:rsid w:val="6541341B"/>
    <w:rsid w:val="65714690"/>
    <w:rsid w:val="65C818CB"/>
    <w:rsid w:val="660D08E9"/>
    <w:rsid w:val="668A0FC1"/>
    <w:rsid w:val="671B58CC"/>
    <w:rsid w:val="6746146B"/>
    <w:rsid w:val="67A4621A"/>
    <w:rsid w:val="67A91325"/>
    <w:rsid w:val="67D4087B"/>
    <w:rsid w:val="67DF4006"/>
    <w:rsid w:val="67E70A4D"/>
    <w:rsid w:val="686D63C6"/>
    <w:rsid w:val="68953EC1"/>
    <w:rsid w:val="68C90E99"/>
    <w:rsid w:val="68DE6DAC"/>
    <w:rsid w:val="692E6174"/>
    <w:rsid w:val="6955571D"/>
    <w:rsid w:val="698956DA"/>
    <w:rsid w:val="69C51D1A"/>
    <w:rsid w:val="69C75A92"/>
    <w:rsid w:val="6A53167E"/>
    <w:rsid w:val="6A594616"/>
    <w:rsid w:val="6A5F4D47"/>
    <w:rsid w:val="6A9A6D03"/>
    <w:rsid w:val="6B0B1D43"/>
    <w:rsid w:val="6B4E7413"/>
    <w:rsid w:val="6B6A0109"/>
    <w:rsid w:val="6B9E7A69"/>
    <w:rsid w:val="6BA50055"/>
    <w:rsid w:val="6C47110C"/>
    <w:rsid w:val="6CAA08FF"/>
    <w:rsid w:val="6D076374"/>
    <w:rsid w:val="6D741A8D"/>
    <w:rsid w:val="6DA36BD2"/>
    <w:rsid w:val="6DFF18C4"/>
    <w:rsid w:val="6EC14468"/>
    <w:rsid w:val="6EC9741C"/>
    <w:rsid w:val="6F0F3400"/>
    <w:rsid w:val="6F1027D4"/>
    <w:rsid w:val="6F107EF5"/>
    <w:rsid w:val="6F18218A"/>
    <w:rsid w:val="6F2C2E41"/>
    <w:rsid w:val="6F3811B7"/>
    <w:rsid w:val="6F3A0AB4"/>
    <w:rsid w:val="6F656F72"/>
    <w:rsid w:val="6F6C6545"/>
    <w:rsid w:val="6FD83CE8"/>
    <w:rsid w:val="6FF32624"/>
    <w:rsid w:val="70305275"/>
    <w:rsid w:val="704902AC"/>
    <w:rsid w:val="706978A3"/>
    <w:rsid w:val="70E46F2A"/>
    <w:rsid w:val="71003436"/>
    <w:rsid w:val="710D3B70"/>
    <w:rsid w:val="71650099"/>
    <w:rsid w:val="71654D19"/>
    <w:rsid w:val="718801FD"/>
    <w:rsid w:val="722D7218"/>
    <w:rsid w:val="723727B0"/>
    <w:rsid w:val="7264527D"/>
    <w:rsid w:val="72853ECD"/>
    <w:rsid w:val="72DE16FE"/>
    <w:rsid w:val="730002BB"/>
    <w:rsid w:val="732F2FE7"/>
    <w:rsid w:val="73351CBE"/>
    <w:rsid w:val="73552361"/>
    <w:rsid w:val="73770ABF"/>
    <w:rsid w:val="73B03968"/>
    <w:rsid w:val="73DE00EA"/>
    <w:rsid w:val="7462161B"/>
    <w:rsid w:val="74686812"/>
    <w:rsid w:val="748206D6"/>
    <w:rsid w:val="74AD5AAB"/>
    <w:rsid w:val="750558C1"/>
    <w:rsid w:val="752F302C"/>
    <w:rsid w:val="75786A7C"/>
    <w:rsid w:val="75A03D67"/>
    <w:rsid w:val="76124201"/>
    <w:rsid w:val="762C7346"/>
    <w:rsid w:val="76A5715B"/>
    <w:rsid w:val="76B367FD"/>
    <w:rsid w:val="76D8308D"/>
    <w:rsid w:val="76F0631E"/>
    <w:rsid w:val="77882E54"/>
    <w:rsid w:val="779E39FC"/>
    <w:rsid w:val="77AF2DE4"/>
    <w:rsid w:val="780D5B49"/>
    <w:rsid w:val="780F2747"/>
    <w:rsid w:val="78936F61"/>
    <w:rsid w:val="78BC49E1"/>
    <w:rsid w:val="78CB247D"/>
    <w:rsid w:val="79093BDF"/>
    <w:rsid w:val="791547D3"/>
    <w:rsid w:val="79645407"/>
    <w:rsid w:val="796C3F60"/>
    <w:rsid w:val="79BD47BC"/>
    <w:rsid w:val="79CE0777"/>
    <w:rsid w:val="79D111AC"/>
    <w:rsid w:val="79DD6C0C"/>
    <w:rsid w:val="7A0B5527"/>
    <w:rsid w:val="7A99244D"/>
    <w:rsid w:val="7AF1471D"/>
    <w:rsid w:val="7B947887"/>
    <w:rsid w:val="7C4116D4"/>
    <w:rsid w:val="7C52031C"/>
    <w:rsid w:val="7C7D32DF"/>
    <w:rsid w:val="7C8E4220"/>
    <w:rsid w:val="7C8F46F9"/>
    <w:rsid w:val="7CA36CB3"/>
    <w:rsid w:val="7CD41461"/>
    <w:rsid w:val="7CD623A3"/>
    <w:rsid w:val="7CFD7A30"/>
    <w:rsid w:val="7D131D46"/>
    <w:rsid w:val="7D2D0569"/>
    <w:rsid w:val="7D7004C3"/>
    <w:rsid w:val="7DAB2CE3"/>
    <w:rsid w:val="7DBB459D"/>
    <w:rsid w:val="7E0646FB"/>
    <w:rsid w:val="7E3F3035"/>
    <w:rsid w:val="7E816BB5"/>
    <w:rsid w:val="7F2257ED"/>
    <w:rsid w:val="7F285749"/>
    <w:rsid w:val="7F390D88"/>
    <w:rsid w:val="7F4339B5"/>
    <w:rsid w:val="7F5E259D"/>
    <w:rsid w:val="7F6A2C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0"/>
    <w:pPr>
      <w:keepNext/>
      <w:keepLines/>
      <w:spacing w:before="156" w:beforeLines="50" w:beforeAutospacing="0"/>
      <w:jc w:val="left"/>
      <w:outlineLvl w:val="1"/>
    </w:pPr>
    <w:rPr>
      <w:rFonts w:eastAsia="黑体"/>
      <w:b/>
      <w:sz w:val="32"/>
    </w:rPr>
  </w:style>
  <w:style w:type="paragraph" w:styleId="4">
    <w:name w:val="heading 3"/>
    <w:basedOn w:val="1"/>
    <w:next w:val="5"/>
    <w:qFormat/>
    <w:uiPriority w:val="0"/>
    <w:pPr>
      <w:keepNext/>
      <w:keepLines/>
      <w:spacing w:before="156" w:beforeLines="50" w:beforeAutospacing="0"/>
      <w:jc w:val="left"/>
      <w:outlineLvl w:val="2"/>
    </w:pPr>
    <w:rPr>
      <w:rFonts w:eastAsia="黑体"/>
      <w:b/>
      <w:sz w:val="30"/>
    </w:rPr>
  </w:style>
  <w:style w:type="paragraph" w:styleId="6">
    <w:name w:val="heading 4"/>
    <w:basedOn w:val="1"/>
    <w:next w:val="1"/>
    <w:qFormat/>
    <w:uiPriority w:val="9"/>
    <w:pPr>
      <w:keepNext/>
      <w:keepLines/>
      <w:widowControl/>
      <w:numPr>
        <w:ilvl w:val="3"/>
        <w:numId w:val="1"/>
      </w:numPr>
      <w:spacing w:before="50" w:beforeLines="50"/>
      <w:outlineLvl w:val="3"/>
    </w:pPr>
    <w:rPr>
      <w:rFonts w:eastAsia="黑体"/>
      <w:bCs/>
      <w:color w:val="000000"/>
      <w:sz w:val="28"/>
      <w:szCs w:val="28"/>
    </w:rPr>
  </w:style>
  <w:style w:type="character" w:default="1" w:styleId="26">
    <w:name w:val="Default Paragraph Font"/>
    <w:qFormat/>
    <w:uiPriority w:val="0"/>
  </w:style>
  <w:style w:type="table" w:default="1" w:styleId="24">
    <w:name w:val="Normal Table"/>
    <w:qFormat/>
    <w:uiPriority w:val="0"/>
    <w:tblPr>
      <w:tblCellMar>
        <w:top w:w="0" w:type="dxa"/>
        <w:left w:w="108" w:type="dxa"/>
        <w:bottom w:w="0" w:type="dxa"/>
        <w:right w:w="108" w:type="dxa"/>
      </w:tblCellMar>
    </w:tblPr>
  </w:style>
  <w:style w:type="paragraph" w:styleId="5">
    <w:name w:val="Normal Indent"/>
    <w:basedOn w:val="1"/>
    <w:next w:val="1"/>
    <w:qFormat/>
    <w:uiPriority w:val="0"/>
    <w:pPr>
      <w:ind w:firstLine="420"/>
    </w:pPr>
  </w:style>
  <w:style w:type="paragraph" w:styleId="7">
    <w:name w:val="caption"/>
    <w:basedOn w:val="1"/>
    <w:next w:val="1"/>
    <w:qFormat/>
    <w:uiPriority w:val="35"/>
    <w:pPr>
      <w:spacing w:line="240" w:lineRule="auto"/>
      <w:ind w:firstLine="0" w:firstLineChars="0"/>
      <w:jc w:val="center"/>
    </w:pPr>
    <w:rPr>
      <w:b/>
      <w:sz w:val="21"/>
      <w:szCs w:val="20"/>
    </w:rPr>
  </w:style>
  <w:style w:type="paragraph" w:styleId="8">
    <w:name w:val="annotation text"/>
    <w:basedOn w:val="1"/>
    <w:link w:val="37"/>
    <w:qFormat/>
    <w:uiPriority w:val="0"/>
    <w:pPr>
      <w:jc w:val="left"/>
    </w:pPr>
    <w:rPr>
      <w:kern w:val="0"/>
      <w:sz w:val="24"/>
      <w:szCs w:val="20"/>
    </w:rPr>
  </w:style>
  <w:style w:type="paragraph" w:styleId="9">
    <w:name w:val="Body Text"/>
    <w:basedOn w:val="1"/>
    <w:next w:val="1"/>
    <w:link w:val="38"/>
    <w:qFormat/>
    <w:uiPriority w:val="0"/>
    <w:pPr>
      <w:widowControl/>
      <w:snapToGrid w:val="0"/>
      <w:spacing w:before="60" w:after="160" w:line="259" w:lineRule="auto"/>
      <w:ind w:right="113"/>
    </w:pPr>
    <w:rPr>
      <w:kern w:val="0"/>
      <w:sz w:val="18"/>
      <w:szCs w:val="20"/>
    </w:rPr>
  </w:style>
  <w:style w:type="paragraph" w:styleId="10">
    <w:name w:val="Body Text Indent"/>
    <w:basedOn w:val="1"/>
    <w:next w:val="9"/>
    <w:link w:val="39"/>
    <w:qFormat/>
    <w:uiPriority w:val="0"/>
    <w:pPr>
      <w:spacing w:after="120"/>
      <w:ind w:left="420" w:leftChars="200"/>
    </w:pPr>
    <w:rPr>
      <w:kern w:val="0"/>
      <w:sz w:val="24"/>
      <w:szCs w:val="20"/>
    </w:rPr>
  </w:style>
  <w:style w:type="paragraph" w:styleId="11">
    <w:name w:val="Block Text"/>
    <w:basedOn w:val="1"/>
    <w:qFormat/>
    <w:uiPriority w:val="0"/>
    <w:pPr>
      <w:spacing w:after="120"/>
      <w:ind w:left="1440" w:leftChars="700" w:right="1440" w:rightChars="700"/>
    </w:pPr>
  </w:style>
  <w:style w:type="paragraph" w:styleId="12">
    <w:name w:val="Plain Text"/>
    <w:basedOn w:val="1"/>
    <w:next w:val="1"/>
    <w:qFormat/>
    <w:uiPriority w:val="0"/>
    <w:rPr>
      <w:rFonts w:ascii="宋体" w:hAnsi="Courier New"/>
      <w:sz w:val="24"/>
      <w:szCs w:val="20"/>
    </w:rPr>
  </w:style>
  <w:style w:type="paragraph" w:styleId="13">
    <w:name w:val="Date"/>
    <w:basedOn w:val="1"/>
    <w:next w:val="1"/>
    <w:link w:val="40"/>
    <w:qFormat/>
    <w:uiPriority w:val="0"/>
    <w:pPr>
      <w:ind w:left="100" w:leftChars="2500"/>
    </w:pPr>
    <w:rPr>
      <w:kern w:val="0"/>
      <w:sz w:val="24"/>
      <w:szCs w:val="20"/>
    </w:rPr>
  </w:style>
  <w:style w:type="paragraph" w:styleId="14">
    <w:name w:val="Body Text Indent 2"/>
    <w:basedOn w:val="1"/>
    <w:qFormat/>
    <w:uiPriority w:val="0"/>
    <w:pPr>
      <w:spacing w:after="120" w:line="480" w:lineRule="auto"/>
      <w:ind w:left="420" w:leftChars="200"/>
    </w:pPr>
  </w:style>
  <w:style w:type="paragraph" w:styleId="15">
    <w:name w:val="Balloon Text"/>
    <w:basedOn w:val="1"/>
    <w:link w:val="41"/>
    <w:qFormat/>
    <w:uiPriority w:val="0"/>
    <w:rPr>
      <w:kern w:val="0"/>
      <w:sz w:val="18"/>
      <w:szCs w:val="20"/>
    </w:rPr>
  </w:style>
  <w:style w:type="paragraph" w:styleId="16">
    <w:name w:val="footer"/>
    <w:basedOn w:val="1"/>
    <w:link w:val="42"/>
    <w:qFormat/>
    <w:uiPriority w:val="99"/>
    <w:pPr>
      <w:tabs>
        <w:tab w:val="center" w:pos="4153"/>
        <w:tab w:val="right" w:pos="8306"/>
      </w:tabs>
      <w:snapToGrid w:val="0"/>
      <w:jc w:val="left"/>
    </w:pPr>
    <w:rPr>
      <w:kern w:val="0"/>
      <w:sz w:val="18"/>
      <w:szCs w:val="20"/>
    </w:rPr>
  </w:style>
  <w:style w:type="paragraph" w:styleId="17">
    <w:name w:val="header"/>
    <w:basedOn w:val="1"/>
    <w:link w:val="43"/>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toc 1"/>
    <w:basedOn w:val="1"/>
    <w:next w:val="1"/>
    <w:qFormat/>
    <w:uiPriority w:val="0"/>
  </w:style>
  <w:style w:type="paragraph" w:styleId="19">
    <w:name w:val="Normal (Web)"/>
    <w:basedOn w:val="1"/>
    <w:link w:val="44"/>
    <w:qFormat/>
    <w:uiPriority w:val="0"/>
    <w:pPr>
      <w:widowControl/>
      <w:spacing w:before="100" w:beforeAutospacing="1" w:after="100" w:afterAutospacing="1"/>
      <w:jc w:val="left"/>
    </w:pPr>
    <w:rPr>
      <w:rFonts w:ascii="宋体" w:hAnsi="宋体"/>
      <w:kern w:val="0"/>
      <w:sz w:val="24"/>
      <w:szCs w:val="20"/>
    </w:rPr>
  </w:style>
  <w:style w:type="paragraph" w:styleId="20">
    <w:name w:val="Title"/>
    <w:basedOn w:val="1"/>
    <w:next w:val="1"/>
    <w:qFormat/>
    <w:uiPriority w:val="0"/>
    <w:pPr>
      <w:spacing w:before="240" w:after="60"/>
      <w:jc w:val="center"/>
      <w:outlineLvl w:val="0"/>
    </w:pPr>
    <w:rPr>
      <w:rFonts w:ascii="Cambria" w:hAnsi="Cambria"/>
      <w:b/>
      <w:bCs/>
      <w:sz w:val="32"/>
      <w:szCs w:val="32"/>
    </w:rPr>
  </w:style>
  <w:style w:type="paragraph" w:styleId="21">
    <w:name w:val="annotation subject"/>
    <w:basedOn w:val="8"/>
    <w:next w:val="8"/>
    <w:link w:val="45"/>
    <w:qFormat/>
    <w:uiPriority w:val="0"/>
    <w:rPr>
      <w:b/>
      <w:sz w:val="24"/>
      <w:szCs w:val="20"/>
    </w:rPr>
  </w:style>
  <w:style w:type="paragraph" w:styleId="22">
    <w:name w:val="Body Text First Indent"/>
    <w:basedOn w:val="9"/>
    <w:qFormat/>
    <w:uiPriority w:val="0"/>
    <w:pPr>
      <w:ind w:firstLine="420" w:firstLineChars="100"/>
    </w:pPr>
    <w:rPr>
      <w:szCs w:val="24"/>
    </w:rPr>
  </w:style>
  <w:style w:type="paragraph" w:styleId="23">
    <w:name w:val="Body Text First Indent 2"/>
    <w:basedOn w:val="1"/>
    <w:next w:val="1"/>
    <w:qFormat/>
    <w:uiPriority w:val="0"/>
    <w:pPr>
      <w:spacing w:line="360" w:lineRule="auto"/>
      <w:ind w:firstLine="420" w:firstLineChars="200"/>
      <w:jc w:val="left"/>
    </w:pPr>
  </w:style>
  <w:style w:type="table" w:styleId="25">
    <w:name w:val="Table Grid"/>
    <w:basedOn w:val="24"/>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page number"/>
    <w:basedOn w:val="26"/>
    <w:qFormat/>
    <w:uiPriority w:val="0"/>
  </w:style>
  <w:style w:type="character" w:styleId="29">
    <w:name w:val="Hyperlink"/>
    <w:basedOn w:val="26"/>
    <w:qFormat/>
    <w:uiPriority w:val="0"/>
    <w:rPr>
      <w:color w:val="0000FF"/>
      <w:u w:val="single"/>
    </w:rPr>
  </w:style>
  <w:style w:type="character" w:styleId="30">
    <w:name w:val="annotation reference"/>
    <w:qFormat/>
    <w:uiPriority w:val="0"/>
    <w:rPr>
      <w:sz w:val="21"/>
    </w:rPr>
  </w:style>
  <w:style w:type="paragraph" w:customStyle="1" w:styleId="31">
    <w:name w:val="Default"/>
    <w:basedOn w:val="32"/>
    <w:next w:val="12"/>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2">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33">
    <w:name w:val="纯文本1"/>
    <w:basedOn w:val="1"/>
    <w:qFormat/>
    <w:uiPriority w:val="0"/>
    <w:pPr>
      <w:adjustRightInd w:val="0"/>
    </w:pPr>
    <w:rPr>
      <w:rFonts w:ascii="宋体" w:hAnsi="Courier New"/>
    </w:rPr>
  </w:style>
  <w:style w:type="paragraph" w:customStyle="1" w:styleId="34">
    <w:name w:val="xl27"/>
    <w:basedOn w:val="1"/>
    <w:next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PMingLiU" w:eastAsia="PMingLiU"/>
      <w:kern w:val="0"/>
      <w:sz w:val="16"/>
      <w:szCs w:val="16"/>
      <w:lang w:eastAsia="zh-TW"/>
    </w:rPr>
  </w:style>
  <w:style w:type="paragraph" w:customStyle="1" w:styleId="35">
    <w:name w:val="正文文字（首行缩进2字）"/>
    <w:basedOn w:val="1"/>
    <w:qFormat/>
    <w:uiPriority w:val="0"/>
    <w:pPr>
      <w:spacing w:line="360" w:lineRule="auto"/>
      <w:ind w:firstLine="200" w:firstLineChars="200"/>
    </w:pPr>
    <w:rPr>
      <w:rFonts w:ascii="Arial" w:hAnsi="Arial" w:eastAsia="宋体"/>
      <w:position w:val="-30"/>
      <w:sz w:val="24"/>
    </w:rPr>
  </w:style>
  <w:style w:type="paragraph" w:customStyle="1" w:styleId="36">
    <w:name w:val="Char Char Char Char Char Char Char Char Char Char"/>
    <w:basedOn w:val="1"/>
    <w:qFormat/>
    <w:uiPriority w:val="0"/>
    <w:pPr>
      <w:adjustRightInd w:val="0"/>
      <w:snapToGrid w:val="0"/>
      <w:spacing w:line="360" w:lineRule="auto"/>
      <w:ind w:firstLine="200" w:firstLineChars="200"/>
    </w:pPr>
    <w:rPr>
      <w:rFonts w:eastAsia="楷体_GB2312"/>
    </w:rPr>
  </w:style>
  <w:style w:type="character" w:customStyle="1" w:styleId="37">
    <w:name w:val="批注文字 Char"/>
    <w:link w:val="8"/>
    <w:qFormat/>
    <w:uiPriority w:val="0"/>
    <w:rPr>
      <w:rFonts w:ascii="Times New Roman" w:hAnsi="Times New Roman" w:eastAsia="宋体"/>
      <w:sz w:val="24"/>
    </w:rPr>
  </w:style>
  <w:style w:type="character" w:customStyle="1" w:styleId="38">
    <w:name w:val="正文文本 Char"/>
    <w:link w:val="9"/>
    <w:qFormat/>
    <w:uiPriority w:val="0"/>
    <w:rPr>
      <w:sz w:val="18"/>
    </w:rPr>
  </w:style>
  <w:style w:type="character" w:customStyle="1" w:styleId="39">
    <w:name w:val="正文文本缩进 Char"/>
    <w:link w:val="10"/>
    <w:qFormat/>
    <w:uiPriority w:val="0"/>
    <w:rPr>
      <w:rFonts w:ascii="Times New Roman" w:hAnsi="Times New Roman" w:eastAsia="宋体"/>
      <w:sz w:val="24"/>
    </w:rPr>
  </w:style>
  <w:style w:type="character" w:customStyle="1" w:styleId="40">
    <w:name w:val="日期 Char"/>
    <w:link w:val="13"/>
    <w:qFormat/>
    <w:uiPriority w:val="0"/>
    <w:rPr>
      <w:rFonts w:ascii="Times New Roman" w:hAnsi="Times New Roman" w:eastAsia="宋体"/>
      <w:sz w:val="24"/>
    </w:rPr>
  </w:style>
  <w:style w:type="character" w:customStyle="1" w:styleId="41">
    <w:name w:val="批注框文本 Char"/>
    <w:link w:val="15"/>
    <w:qFormat/>
    <w:uiPriority w:val="0"/>
    <w:rPr>
      <w:rFonts w:ascii="Times New Roman" w:hAnsi="Times New Roman" w:eastAsia="宋体"/>
      <w:sz w:val="18"/>
    </w:rPr>
  </w:style>
  <w:style w:type="character" w:customStyle="1" w:styleId="42">
    <w:name w:val="页脚 Char"/>
    <w:link w:val="16"/>
    <w:qFormat/>
    <w:uiPriority w:val="99"/>
    <w:rPr>
      <w:sz w:val="18"/>
    </w:rPr>
  </w:style>
  <w:style w:type="character" w:customStyle="1" w:styleId="43">
    <w:name w:val="页眉 Char"/>
    <w:link w:val="17"/>
    <w:qFormat/>
    <w:uiPriority w:val="0"/>
    <w:rPr>
      <w:sz w:val="18"/>
    </w:rPr>
  </w:style>
  <w:style w:type="character" w:customStyle="1" w:styleId="44">
    <w:name w:val="普通(网站) Char"/>
    <w:link w:val="19"/>
    <w:qFormat/>
    <w:uiPriority w:val="0"/>
    <w:rPr>
      <w:rFonts w:ascii="宋体" w:hAnsi="宋体" w:eastAsia="宋体"/>
      <w:sz w:val="24"/>
    </w:rPr>
  </w:style>
  <w:style w:type="character" w:customStyle="1" w:styleId="45">
    <w:name w:val="批注主题 Char"/>
    <w:link w:val="21"/>
    <w:qFormat/>
    <w:uiPriority w:val="0"/>
    <w:rPr>
      <w:rFonts w:ascii="Times New Roman" w:hAnsi="Times New Roman" w:eastAsia="宋体"/>
      <w:b/>
      <w:kern w:val="2"/>
      <w:sz w:val="24"/>
    </w:rPr>
  </w:style>
  <w:style w:type="paragraph" w:customStyle="1" w:styleId="46">
    <w:name w:val="Default1"/>
    <w:basedOn w:val="47"/>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7">
    <w:name w:val="常用正文样式"/>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paragraph" w:customStyle="1" w:styleId="48">
    <w:name w:val="表格文字"/>
    <w:basedOn w:val="5"/>
    <w:next w:val="1"/>
    <w:qFormat/>
    <w:uiPriority w:val="0"/>
    <w:pPr>
      <w:snapToGrid w:val="0"/>
      <w:spacing w:line="240" w:lineRule="auto"/>
      <w:jc w:val="center"/>
    </w:pPr>
    <w:rPr>
      <w:rFonts w:ascii="宋体" w:hAnsi="宋体"/>
      <w:color w:val="000000"/>
      <w:szCs w:val="20"/>
    </w:rPr>
  </w:style>
  <w:style w:type="paragraph" w:customStyle="1" w:styleId="49">
    <w:name w:val="朔电正文"/>
    <w:basedOn w:val="1"/>
    <w:qFormat/>
    <w:uiPriority w:val="0"/>
    <w:pPr>
      <w:adjustRightInd w:val="0"/>
      <w:snapToGrid w:val="0"/>
      <w:spacing w:beforeLines="25" w:line="440" w:lineRule="exact"/>
      <w:ind w:firstLine="200" w:firstLineChars="200"/>
    </w:pPr>
    <w:rPr>
      <w:color w:val="000000"/>
    </w:rPr>
  </w:style>
  <w:style w:type="character" w:customStyle="1" w:styleId="50">
    <w:name w:val="页脚 字符"/>
    <w:basedOn w:val="26"/>
    <w:qFormat/>
    <w:uiPriority w:val="99"/>
  </w:style>
  <w:style w:type="character" w:customStyle="1" w:styleId="51">
    <w:name w:val="正文文本 字符1"/>
    <w:qFormat/>
    <w:uiPriority w:val="0"/>
    <w:rPr>
      <w:rFonts w:ascii="Times New Roman" w:hAnsi="Times New Roman" w:eastAsia="宋体"/>
      <w:sz w:val="24"/>
    </w:rPr>
  </w:style>
  <w:style w:type="character" w:customStyle="1" w:styleId="52">
    <w:name w:val="表格 Char"/>
    <w:link w:val="53"/>
    <w:qFormat/>
    <w:uiPriority w:val="0"/>
    <w:rPr>
      <w:rFonts w:ascii="宋体"/>
      <w:sz w:val="21"/>
    </w:rPr>
  </w:style>
  <w:style w:type="paragraph" w:customStyle="1" w:styleId="53">
    <w:name w:val="表格"/>
    <w:basedOn w:val="1"/>
    <w:next w:val="1"/>
    <w:link w:val="52"/>
    <w:qFormat/>
    <w:uiPriority w:val="0"/>
    <w:pPr>
      <w:adjustRightInd w:val="0"/>
      <w:snapToGrid w:val="0"/>
      <w:spacing w:beforeLines="10" w:afterLines="10" w:line="259" w:lineRule="auto"/>
      <w:jc w:val="center"/>
    </w:pPr>
    <w:rPr>
      <w:rFonts w:ascii="宋体"/>
      <w:kern w:val="0"/>
      <w:szCs w:val="20"/>
    </w:rPr>
  </w:style>
  <w:style w:type="character" w:customStyle="1" w:styleId="54">
    <w:name w:val="日期 字符"/>
    <w:qFormat/>
    <w:uiPriority w:val="0"/>
    <w:rPr>
      <w:rFonts w:ascii="Times New Roman" w:hAnsi="Times New Roman" w:eastAsia="宋体"/>
      <w:sz w:val="24"/>
    </w:rPr>
  </w:style>
  <w:style w:type="character" w:customStyle="1" w:styleId="55">
    <w:name w:val="批注文字 字符1"/>
    <w:qFormat/>
    <w:uiPriority w:val="0"/>
    <w:rPr>
      <w:rFonts w:ascii="Times New Roman" w:hAnsi="Times New Roman" w:eastAsia="宋体"/>
      <w:sz w:val="24"/>
    </w:rPr>
  </w:style>
  <w:style w:type="paragraph" w:customStyle="1" w:styleId="56">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8">
    <w:name w:val="表内容"/>
    <w:basedOn w:val="12"/>
    <w:qFormat/>
    <w:uiPriority w:val="0"/>
    <w:pPr>
      <w:jc w:val="center"/>
    </w:pPr>
    <w:rPr>
      <w:rFonts w:ascii="Times New Roman" w:hAnsi="Times New Roman"/>
      <w:sz w:val="21"/>
    </w:rPr>
  </w:style>
  <w:style w:type="character" w:customStyle="1" w:styleId="59">
    <w:name w:val="font21"/>
    <w:basedOn w:val="26"/>
    <w:qFormat/>
    <w:uiPriority w:val="0"/>
    <w:rPr>
      <w:rFonts w:hint="eastAsia" w:ascii="宋体" w:hAnsi="宋体" w:eastAsia="宋体" w:cs="宋体"/>
      <w:b/>
      <w:bCs/>
      <w:color w:val="000000"/>
      <w:sz w:val="18"/>
      <w:szCs w:val="18"/>
      <w:u w:val="none"/>
    </w:rPr>
  </w:style>
  <w:style w:type="character" w:customStyle="1" w:styleId="60">
    <w:name w:val="font41"/>
    <w:basedOn w:val="26"/>
    <w:qFormat/>
    <w:uiPriority w:val="0"/>
    <w:rPr>
      <w:rFonts w:hint="default" w:ascii="Times New Roman" w:hAnsi="Times New Roman" w:cs="Times New Roman"/>
      <w:b/>
      <w:bCs/>
      <w:color w:val="000000"/>
      <w:sz w:val="18"/>
      <w:szCs w:val="18"/>
      <w:u w:val="none"/>
    </w:rPr>
  </w:style>
  <w:style w:type="paragraph" w:customStyle="1" w:styleId="61">
    <w:name w:val="报告正文"/>
    <w:basedOn w:val="1"/>
    <w:qFormat/>
    <w:uiPriority w:val="99"/>
    <w:pPr>
      <w:autoSpaceDE w:val="0"/>
      <w:autoSpaceDN w:val="0"/>
      <w:spacing w:line="560" w:lineRule="atLeast"/>
      <w:ind w:firstLine="200" w:firstLineChars="200"/>
    </w:pPr>
    <w:rPr>
      <w:rFonts w:ascii="宋体"/>
      <w:kern w:val="0"/>
      <w:sz w:val="24"/>
    </w:rPr>
  </w:style>
  <w:style w:type="paragraph" w:customStyle="1" w:styleId="62">
    <w:name w:val="李表头常用格式"/>
    <w:basedOn w:val="11"/>
    <w:qFormat/>
    <w:uiPriority w:val="0"/>
    <w:pPr>
      <w:adjustRightInd/>
      <w:snapToGrid w:val="0"/>
      <w:spacing w:after="0" w:line="320" w:lineRule="exact"/>
      <w:ind w:left="0" w:leftChars="0" w:right="0" w:rightChars="0"/>
      <w:jc w:val="center"/>
      <w:textAlignment w:val="auto"/>
    </w:pPr>
    <w:rPr>
      <w:rFonts w:eastAsia="黑体"/>
      <w:color w:val="000000"/>
      <w:szCs w:val="21"/>
    </w:rPr>
  </w:style>
  <w:style w:type="paragraph" w:customStyle="1" w:styleId="63">
    <w:name w:val="标准正文"/>
    <w:basedOn w:val="1"/>
    <w:qFormat/>
    <w:uiPriority w:val="0"/>
    <w:pPr>
      <w:spacing w:line="360" w:lineRule="auto"/>
      <w:ind w:firstLine="200" w:firstLineChars="200"/>
      <w:jc w:val="left"/>
    </w:pPr>
    <w:rPr>
      <w:sz w:val="24"/>
      <w:szCs w:val="22"/>
    </w:rPr>
  </w:style>
  <w:style w:type="paragraph" w:customStyle="1" w:styleId="64">
    <w:name w:val="正文1"/>
    <w:basedOn w:val="1"/>
    <w:qFormat/>
    <w:uiPriority w:val="0"/>
    <w:pPr>
      <w:tabs>
        <w:tab w:val="left" w:pos="1455"/>
      </w:tabs>
      <w:spacing w:line="480" w:lineRule="exact"/>
      <w:ind w:firstLine="480" w:firstLineChars="200"/>
    </w:pPr>
    <w:rPr>
      <w:sz w:val="24"/>
      <w:szCs w:val="24"/>
    </w:rPr>
  </w:style>
  <w:style w:type="paragraph" w:customStyle="1" w:styleId="65">
    <w:name w:val="表中"/>
    <w:basedOn w:val="1"/>
    <w:qFormat/>
    <w:uiPriority w:val="0"/>
    <w:pPr>
      <w:adjustRightInd/>
      <w:spacing w:line="360" w:lineRule="exact"/>
      <w:jc w:val="center"/>
      <w:textAlignment w:val="auto"/>
    </w:pPr>
    <w:rPr>
      <w:szCs w:val="21"/>
      <w:lang w:val="de-DE"/>
    </w:rPr>
  </w:style>
  <w:style w:type="paragraph" w:customStyle="1" w:styleId="66">
    <w:name w:val="环评正文"/>
    <w:qFormat/>
    <w:uiPriority w:val="0"/>
    <w:pPr>
      <w:adjustRightInd w:val="0"/>
      <w:snapToGrid w:val="0"/>
      <w:spacing w:line="480" w:lineRule="exact"/>
      <w:ind w:firstLine="200" w:firstLineChars="200"/>
    </w:pPr>
    <w:rPr>
      <w:rFonts w:ascii="Times New Roman" w:hAnsi="Times New Roman" w:eastAsia="宋体" w:cs="Times New Roman"/>
      <w:sz w:val="24"/>
      <w:lang w:val="en-US" w:eastAsia="zh-CN" w:bidi="ar-SA"/>
    </w:rPr>
  </w:style>
  <w:style w:type="paragraph" w:customStyle="1" w:styleId="67">
    <w:name w:val="表格新格式"/>
    <w:basedOn w:val="1"/>
    <w:qFormat/>
    <w:uiPriority w:val="0"/>
    <w:pPr>
      <w:adjustRightInd/>
      <w:spacing w:line="280" w:lineRule="exact"/>
      <w:jc w:val="center"/>
      <w:textAlignment w:val="auto"/>
    </w:pPr>
    <w:rPr>
      <w:color w:val="000000"/>
      <w:szCs w:val="21"/>
    </w:rPr>
  </w:style>
  <w:style w:type="paragraph" w:customStyle="1" w:styleId="68">
    <w:name w:val="表头样式"/>
    <w:basedOn w:val="1"/>
    <w:qFormat/>
    <w:uiPriority w:val="0"/>
    <w:pPr>
      <w:snapToGrid w:val="0"/>
      <w:spacing w:line="420" w:lineRule="auto"/>
      <w:ind w:firstLine="480" w:firstLineChars="200"/>
      <w:jc w:val="left"/>
    </w:pPr>
    <w:rPr>
      <w:color w:val="FF0000"/>
      <w:sz w:val="24"/>
      <w:u w:val="single"/>
    </w:rPr>
  </w:style>
  <w:style w:type="paragraph" w:customStyle="1" w:styleId="69">
    <w:name w:val="Table Paragraph"/>
    <w:basedOn w:val="1"/>
    <w:qFormat/>
    <w:uiPriority w:val="99"/>
  </w:style>
  <w:style w:type="paragraph" w:customStyle="1" w:styleId="70">
    <w:name w:val="正文 1"/>
    <w:basedOn w:val="1"/>
    <w:qFormat/>
    <w:uiPriority w:val="0"/>
    <w:pPr>
      <w:spacing w:line="480" w:lineRule="exact"/>
      <w:ind w:firstLine="567"/>
    </w:pPr>
    <w:rPr>
      <w:sz w:val="28"/>
    </w:rPr>
  </w:style>
  <w:style w:type="paragraph" w:customStyle="1" w:styleId="71">
    <w:name w:val="表格-zjr"/>
    <w:basedOn w:val="1"/>
    <w:qFormat/>
    <w:uiPriority w:val="0"/>
    <w:pPr>
      <w:spacing w:line="240" w:lineRule="auto"/>
      <w:ind w:firstLine="0" w:firstLineChars="0"/>
      <w:jc w:val="center"/>
    </w:pPr>
    <w:rPr>
      <w:rFonts w:ascii="Times New Roman" w:hAnsi="Times New Roman" w:eastAsia="宋体" w:cs="Times New Roman"/>
      <w:sz w:val="21"/>
    </w:rPr>
  </w:style>
  <w:style w:type="paragraph" w:customStyle="1" w:styleId="72">
    <w:name w:val="表格标题1"/>
    <w:basedOn w:val="1"/>
    <w:qFormat/>
    <w:uiPriority w:val="99"/>
    <w:pPr>
      <w:adjustRightInd w:val="0"/>
      <w:snapToGrid w:val="0"/>
      <w:spacing w:line="440" w:lineRule="exact"/>
      <w:jc w:val="center"/>
    </w:pPr>
    <w:rPr>
      <w:rFonts w:ascii="宋体" w:hAnsi="宋体"/>
      <w:b/>
    </w:rPr>
  </w:style>
  <w:style w:type="paragraph" w:customStyle="1" w:styleId="73">
    <w:name w:val="表格-小四"/>
    <w:basedOn w:val="1"/>
    <w:qFormat/>
    <w:uiPriority w:val="0"/>
    <w:pPr>
      <w:spacing w:line="300" w:lineRule="auto"/>
      <w:ind w:firstLine="0" w:firstLineChars="0"/>
      <w:jc w:val="center"/>
    </w:pPr>
    <w:rPr>
      <w:rFonts w:ascii="Times New Roman" w:hAnsi="Times New Roman" w:eastAsia="宋体" w:cs="宋体"/>
      <w:sz w:val="24"/>
    </w:rPr>
  </w:style>
  <w:style w:type="paragraph" w:customStyle="1" w:styleId="74">
    <w:name w:val="5表标题"/>
    <w:qFormat/>
    <w:uiPriority w:val="0"/>
    <w:pPr>
      <w:jc w:val="center"/>
    </w:pPr>
    <w:rPr>
      <w:rFonts w:ascii="Times New Roman" w:hAnsi="Times New Roman" w:eastAsia="宋体" w:cs="宋体"/>
      <w:b/>
      <w:bCs/>
      <w:kern w:val="2"/>
      <w:sz w:val="21"/>
      <w:lang w:val="en-US" w:eastAsia="zh-CN" w:bidi="ar-SA"/>
    </w:rPr>
  </w:style>
  <w:style w:type="paragraph" w:customStyle="1" w:styleId="75">
    <w:name w:val="zlf表格文字"/>
    <w:qFormat/>
    <w:uiPriority w:val="0"/>
    <w:pPr>
      <w:spacing w:line="276" w:lineRule="auto"/>
      <w:jc w:val="center"/>
    </w:pPr>
    <w:rPr>
      <w:rFonts w:ascii="Times New Roman" w:hAnsi="Times New Roman" w:eastAsia="宋体" w:cs="Times New Roman"/>
      <w:kern w:val="2"/>
      <w:sz w:val="21"/>
      <w:szCs w:val="24"/>
      <w:lang w:val="en-US" w:eastAsia="zh-CN" w:bidi="ar-SA"/>
    </w:rPr>
  </w:style>
  <w:style w:type="paragraph" w:customStyle="1" w:styleId="76">
    <w:name w:val="li 表头文字"/>
    <w:qFormat/>
    <w:uiPriority w:val="0"/>
    <w:pPr>
      <w:spacing w:line="460" w:lineRule="exact"/>
      <w:jc w:val="center"/>
    </w:pPr>
    <w:rPr>
      <w:rFonts w:ascii="Times New Roman" w:hAnsi="Times New Roman" w:eastAsia="宋体" w:cs="Times New Roman"/>
      <w:b/>
      <w:spacing w:val="4"/>
      <w:kern w:val="2"/>
      <w:sz w:val="21"/>
      <w:szCs w:val="21"/>
      <w:lang w:val="en-US" w:eastAsia="zh-CN" w:bidi="ar-SA"/>
    </w:rPr>
  </w:style>
  <w:style w:type="character" w:customStyle="1" w:styleId="77">
    <w:name w:val="表内文字"/>
    <w:qFormat/>
    <w:uiPriority w:val="0"/>
    <w:rPr>
      <w:rFonts w:ascii="Times New Roman" w:hAnsi="Times New Roman" w:eastAsia="仿宋_GB2312"/>
      <w:sz w:val="24"/>
      <w:szCs w:val="24"/>
    </w:rPr>
  </w:style>
  <w:style w:type="paragraph" w:customStyle="1" w:styleId="78">
    <w:name w:val="a正文排版格式"/>
    <w:basedOn w:val="79"/>
    <w:qFormat/>
    <w:uiPriority w:val="99"/>
    <w:pPr>
      <w:spacing w:line="500" w:lineRule="exact"/>
      <w:ind w:firstLine="420"/>
    </w:pPr>
    <w:rPr>
      <w:rFonts w:eastAsia="仿宋_GB2312"/>
      <w:kern w:val="0"/>
      <w:sz w:val="28"/>
    </w:rPr>
  </w:style>
  <w:style w:type="paragraph" w:customStyle="1" w:styleId="79">
    <w:name w:val="正文 New New"/>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80">
    <w:name w:val="z正文"/>
    <w:basedOn w:val="1"/>
    <w:qFormat/>
    <w:uiPriority w:val="0"/>
    <w:rPr>
      <w:rFonts w:cs="宋体"/>
      <w:kern w:val="0"/>
      <w:szCs w:val="20"/>
    </w:rPr>
  </w:style>
  <w:style w:type="table" w:customStyle="1" w:styleId="81">
    <w:name w:val="Table Normal"/>
    <w:qFormat/>
    <w:uiPriority w:val="0"/>
    <w:tblPr>
      <w:tblCellMar>
        <w:top w:w="0" w:type="dxa"/>
        <w:left w:w="0" w:type="dxa"/>
        <w:bottom w:w="0" w:type="dxa"/>
        <w:right w:w="0" w:type="dxa"/>
      </w:tblCellMar>
    </w:tblPr>
  </w:style>
  <w:style w:type="paragraph" w:customStyle="1" w:styleId="82">
    <w:name w:val="正文_4"/>
    <w:qFormat/>
    <w:uiPriority w:val="0"/>
    <w:pPr>
      <w:widowControl w:val="0"/>
      <w:jc w:val="both"/>
    </w:pPr>
    <w:rPr>
      <w:rFonts w:ascii="Calibri" w:hAnsi="Calibri" w:eastAsia="宋体" w:cs="Times New Roman"/>
      <w:kern w:val="2"/>
      <w:sz w:val="21"/>
      <w:lang w:val="en-US" w:eastAsia="zh-CN" w:bidi="ar-SA"/>
    </w:rPr>
  </w:style>
  <w:style w:type="paragraph" w:customStyle="1" w:styleId="83">
    <w:name w:val="文字描述"/>
    <w:basedOn w:val="1"/>
    <w:qFormat/>
    <w:uiPriority w:val="0"/>
    <w:pPr>
      <w:adjustRightInd w:val="0"/>
      <w:snapToGrid w:val="0"/>
      <w:spacing w:line="360" w:lineRule="auto"/>
      <w:ind w:firstLine="200" w:firstLineChars="200"/>
    </w:pPr>
    <w:rPr>
      <w:spacing w:val="-2"/>
      <w:szCs w:val="24"/>
    </w:rPr>
  </w:style>
  <w:style w:type="paragraph" w:customStyle="1" w:styleId="84">
    <w:name w:val="Other|1"/>
    <w:basedOn w:val="1"/>
    <w:qFormat/>
    <w:uiPriority w:val="0"/>
    <w:pPr>
      <w:spacing w:after="330"/>
    </w:pPr>
    <w:rPr>
      <w:rFonts w:ascii="宋体" w:hAnsi="宋体" w:cs="宋体"/>
    </w:rPr>
  </w:style>
  <w:style w:type="table" w:customStyle="1" w:styleId="85">
    <w:name w:val="网格型刘2"/>
    <w:basedOn w:val="24"/>
    <w:qFormat/>
    <w:uiPriority w:val="0"/>
    <w:pPr>
      <w:widowControl w:val="0"/>
      <w:jc w:val="center"/>
    </w:p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86">
    <w:name w:val="WPSOffice手动目录 1"/>
    <w:qFormat/>
    <w:uiPriority w:val="0"/>
    <w:pPr>
      <w:ind w:leftChars="0"/>
    </w:pPr>
    <w:rPr>
      <w:rFonts w:ascii="Times New Roman" w:hAnsi="Times New Roman" w:eastAsia="宋体" w:cs="Times New Roman"/>
      <w:sz w:val="20"/>
      <w:szCs w:val="20"/>
    </w:rPr>
  </w:style>
  <w:style w:type="paragraph" w:customStyle="1" w:styleId="87">
    <w:name w:val="样式 表中文字 + 两端对齐"/>
    <w:basedOn w:val="1"/>
    <w:qFormat/>
    <w:uiPriority w:val="0"/>
    <w:pPr>
      <w:spacing w:line="260" w:lineRule="exact"/>
      <w:jc w:val="center"/>
    </w:pPr>
    <w:rPr>
      <w:rFonts w:ascii="宋体" w:hAnsi="宋体"/>
      <w:szCs w:val="21"/>
    </w:rPr>
  </w:style>
  <w:style w:type="paragraph" w:customStyle="1" w:styleId="88">
    <w:name w:val="正文文本缩进 32"/>
    <w:basedOn w:val="1"/>
    <w:qFormat/>
    <w:uiPriority w:val="0"/>
    <w:pPr>
      <w:spacing w:line="500" w:lineRule="exact"/>
      <w:ind w:firstLine="560"/>
    </w:pPr>
    <w:rPr>
      <w:rFonts w:ascii="楷体_GB2312" w:eastAsia="楷体_GB2312"/>
      <w:sz w:val="28"/>
    </w:rPr>
  </w:style>
  <w:style w:type="paragraph" w:customStyle="1" w:styleId="89">
    <w:name w:val="样式 标题 4 + 段前: 5 磅 段后: 3 磅 行距: 固定值 26 磅"/>
    <w:basedOn w:val="6"/>
    <w:qFormat/>
    <w:uiPriority w:val="0"/>
    <w:pPr>
      <w:numPr>
        <w:ilvl w:val="0"/>
        <w:numId w:val="2"/>
      </w:numPr>
      <w:tabs>
        <w:tab w:val="left" w:pos="0"/>
      </w:tabs>
      <w:spacing w:before="0" w:after="0" w:line="500" w:lineRule="exact"/>
    </w:pPr>
    <w:rPr>
      <w:rFonts w:ascii="楷体_GB2312" w:hAnsi="宋体" w:eastAsia="楷体_GB2312" w:cs="Times New Roman"/>
      <w:color w:val="000000"/>
      <w:sz w:val="21"/>
      <w:szCs w:val="20"/>
    </w:rPr>
  </w:style>
  <w:style w:type="paragraph" w:customStyle="1" w:styleId="90">
    <w:name w:val="自己的正文"/>
    <w:basedOn w:val="9"/>
    <w:qFormat/>
    <w:uiPriority w:val="0"/>
    <w:pPr>
      <w:adjustRightInd w:val="0"/>
      <w:snapToGrid w:val="0"/>
      <w:spacing w:line="360" w:lineRule="auto"/>
      <w:ind w:firstLine="560" w:firstLineChars="200"/>
      <w:textAlignment w:val="baseline"/>
    </w:pPr>
    <w:rPr>
      <w:rFonts w:ascii="Times New Roman" w:hAnsi="Times New Roman" w:eastAsia="宋体"/>
      <w:color w:val="000000"/>
      <w:sz w:val="28"/>
      <w:szCs w:val="28"/>
    </w:rPr>
  </w:style>
  <w:style w:type="paragraph" w:customStyle="1" w:styleId="91">
    <w:name w:val="B封皮名称"/>
    <w:basedOn w:val="1"/>
    <w:qFormat/>
    <w:uiPriority w:val="0"/>
    <w:pPr>
      <w:widowControl/>
      <w:snapToGrid/>
      <w:spacing w:after="160" w:line="360" w:lineRule="auto"/>
      <w:ind w:firstLine="0" w:firstLineChars="0"/>
      <w:jc w:val="center"/>
    </w:pPr>
    <w:rPr>
      <w:rFonts w:asciiTheme="minorEastAsia" w:hAnsiTheme="minorEastAsia" w:eastAsiaTheme="minorEastAsia"/>
      <w:sz w:val="44"/>
      <w:szCs w:val="44"/>
    </w:rPr>
  </w:style>
  <w:style w:type="paragraph" w:customStyle="1" w:styleId="92">
    <w:name w:val="B封皮"/>
    <w:basedOn w:val="1"/>
    <w:qFormat/>
    <w:uiPriority w:val="0"/>
    <w:pPr>
      <w:snapToGrid/>
      <w:spacing w:line="360" w:lineRule="auto"/>
      <w:ind w:firstLine="667"/>
      <w:jc w:val="center"/>
    </w:pPr>
    <w:rPr>
      <w:b/>
      <w:sz w:val="36"/>
      <w:szCs w:val="36"/>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22.jpe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er" Target="foot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emf"/><Relationship Id="rId25" Type="http://schemas.openxmlformats.org/officeDocument/2006/relationships/oleObject" Target="embeddings/oleObject2.bin"/><Relationship Id="rId24" Type="http://schemas.openxmlformats.org/officeDocument/2006/relationships/image" Target="media/image14.emf"/><Relationship Id="rId23" Type="http://schemas.openxmlformats.org/officeDocument/2006/relationships/oleObject" Target="embeddings/oleObject1.bin"/><Relationship Id="rId22" Type="http://schemas.openxmlformats.org/officeDocument/2006/relationships/image" Target="media/image13.pn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4b22c214-c078-4f28-87cd-c362646ca95c</errorID>
      <errorWord>原由</errorWord>
      <group>L1_Word</group>
      <groupName>字词问题</groupName>
      <ability>L2_Variant</ability>
      <abilityName>异形词</abilityName>
      <candidateList>
        <item>缘由</item>
      </candidateList>
      <explain>词汇[原由]的规范词形写作[缘由]。</explain>
      <paraID>248FB564</paraID>
      <start>55</start>
      <end>57</end>
      <status>unmodified</status>
      <modifiedWord/>
      <trackRevisions>false</trackRevisions>
    </reviewItem>
    <reviewItem>
      <errorID>0b139705-eeb6-4845-a67e-b1949afaed59</errorID>
      <errorWord>做为</errorWord>
      <group>L1_Word</group>
      <groupName>字词问题</groupName>
      <ability>L2_Typo</ability>
      <abilityName>字词错误</abilityName>
      <candidateList>
        <item>作为</item>
      </candidateList>
      <explain>存在发音相同字词的误用。</explain>
      <paraID>248FB564</paraID>
      <start>164</start>
      <end>166</end>
      <status>unmodified</status>
      <modifiedWord/>
      <trackRevisions>false</trackRevisions>
    </reviewItem>
    <reviewItem>
      <errorID>74a90ff9-e390-4521-954a-ae8ec65564ca</errorID>
      <errorWord>-</errorWord>
      <group>L1_Format</group>
      <groupName>格式问题</groupName>
      <ability>L2_HalfPunc_CN</ability>
      <abilityName>全半角问题</abilityName>
      <candidateList>
        <item>－</item>
      </candidateList>
      <explain>文本全半角错误。</explain>
      <paraID>1A45A139</paraID>
      <start>28</start>
      <end>29</end>
      <status>unmodified</status>
      <modifiedWord/>
      <trackRevisions>false</trackRevisions>
    </reviewItem>
    <reviewItem>
      <errorID>98e2373e-1c63-423a-963d-f814f7b2c692</errorID>
      <errorWord>[2020]26号</errorWord>
      <group>L1_Knowledge</group>
      <groupName>知识性问题</groupName>
      <ability>L2_Knowledge</ability>
      <abilityName>其他知识</abilityName>
      <candidateList>
        <item>〔2020〕26号</item>
      </candidateList>
      <explain>发文字号格式错误。</explain>
      <paraID>5D5D42F8</paraID>
      <start>35</start>
      <end>44</end>
      <status>unmodified</status>
      <modifiedWord/>
      <trackRevisions>false</trackRevisions>
    </reviewItem>
    <reviewItem>
      <errorID>1776b098-5950-4c06-88f9-8edcff40df3e</errorID>
      <errorWord>[2020]26号</errorWord>
      <group>L1_Knowledge</group>
      <groupName>知识性问题</groupName>
      <ability>L2_Knowledge</ability>
      <abilityName>其他知识</abilityName>
      <candidateList>
        <item>〔2020〕26号</item>
      </candidateList>
      <explain>发文字号格式错误。</explain>
      <paraID>6B5CB71D</paraID>
      <start>36</start>
      <end>45</end>
      <status>unmodified</status>
      <modifiedWord/>
      <trackRevisions>false</trackRevisions>
    </reviewItem>
    <reviewItem>
      <errorID>cc530b71-3d55-4a5e-b282-f993c2694c00</errorID>
      <errorWord>属</errorWord>
      <group>L1_Word</group>
      <groupName>字词问题</groupName>
      <ability>L2_Typo</ability>
      <abilityName>字词错误</abilityName>
      <candidateList>
        <item>属于</item>
      </candidateList>
      <explain/>
      <paraID>6B5CB71D</paraID>
      <start>56</start>
      <end>57</end>
      <status>unmodified</status>
      <modifiedWord/>
      <trackRevisions>false</trackRevisions>
    </reviewItem>
    <reviewItem>
      <errorID>8900be2b-5b92-4254-9b71-ca00919ffb1b</errorID>
      <errorWord>立</errorWord>
      <group>L1_Word</group>
      <groupName>字词问题</groupName>
      <ability>L2_Typo</ability>
      <abilityName>字词错误</abilityName>
      <candidateList>
        <item>立了</item>
      </candidateList>
      <explain/>
      <paraID>69517443</paraID>
      <start>69</start>
      <end>70</end>
      <status>unmodified</status>
      <modifiedWord/>
      <trackRevisions>false</trackRevisions>
    </reviewItem>
    <reviewItem>
      <errorID>eb18296b-4ec3-4c16-9f3e-822e9797d31b</errorID>
      <errorWord>[2020]26号</errorWord>
      <group>L1_Knowledge</group>
      <groupName>知识性问题</groupName>
      <ability>L2_Knowledge</ability>
      <abilityName>其他知识</abilityName>
      <candidateList>
        <item>〔2020〕26号</item>
      </candidateList>
      <explain>发文字号格式错误。</explain>
      <paraID>5EC3994B</paraID>
      <start>15</start>
      <end>24</end>
      <status>unmodified</status>
      <modifiedWord/>
      <trackRevisions>false</trackRevisions>
    </reviewItem>
    <reviewItem>
      <errorID>e632eae7-602b-467e-81e9-f2732295b134</errorID>
      <errorWord>[2021]21号</errorWord>
      <group>L1_Knowledge</group>
      <groupName>知识性问题</groupName>
      <ability>L2_Knowledge</ability>
      <abilityName>其他知识</abilityName>
      <candidateList>
        <item>〔2021〕21号</item>
      </candidateList>
      <explain>发文字号格式错误。</explain>
      <paraID>64AAAAC7</paraID>
      <start>43</start>
      <end>52</end>
      <status>unmodified</status>
      <modifiedWord/>
      <trackRevisions>false</trackRevisions>
    </reviewItem>
    <reviewItem>
      <errorID>5aaec8e3-27e2-4e80-9349-d8e55a63b131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BF1CCBE</paraID>
      <start>38</start>
      <end>41</end>
      <status>unmodified</status>
      <modifiedWord/>
      <trackRevisions>false</trackRevisions>
    </reviewItem>
    <reviewItem>
      <errorID>c98ec393-50e1-451d-8b95-28f716713435</errorID>
      <errorWord>~</errorWord>
      <group>L1_Format</group>
      <groupName>格式问题</groupName>
      <ability>L2_HalfPunc_CN</ability>
      <abilityName>全半角问题</abilityName>
      <candidateList>
        <item>～</item>
      </candidateList>
      <explain>文本全半角错误。</explain>
      <paraID> BF1CCBE</paraID>
      <start>174</start>
      <end>175</end>
      <status>unmodified</status>
      <modifiedWord/>
      <trackRevisions>false</trackRevisions>
    </reviewItem>
    <reviewItem>
      <errorID>646eea2c-3efb-4a4b-b935-8d38d976499f</errorID>
      <errorWord>（2021）45号</errorWord>
      <group>L1_Knowledge</group>
      <groupName>知识性问题</groupName>
      <ability>L2_Knowledge</ability>
      <abilityName>其他知识</abilityName>
      <candidateList>
        <item>〔2021〕45号</item>
      </candidateList>
      <explain>发文字号格式错误。</explain>
      <paraID>48C3FEFE</paraID>
      <start>44</start>
      <end>53</end>
      <status>unmodified</status>
      <modifiedWord/>
      <trackRevisions>false</trackRevisions>
    </reviewItem>
    <reviewItem>
      <errorID>9b10d667-9a97-4a57-81c2-9c1c4cbb7876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59E64696</paraID>
      <start>0</start>
      <end>2</end>
      <status>unmodified</status>
      <modifiedWord/>
      <trackRevisions>false</trackRevisions>
    </reviewItem>
    <reviewItem>
      <errorID>be22edc1-c770-43b2-9cd6-d6da88bd4ca0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2E1C2C47</paraID>
      <start>0</start>
      <end>2</end>
      <status>unmodified</status>
      <modifiedWord/>
      <trackRevisions>false</trackRevisions>
    </reviewItem>
    <reviewItem>
      <errorID>b8673e12-a323-4ca9-9293-30f54255769c</errorID>
      <errorWord>上线</errorWord>
      <group>L1_Word</group>
      <groupName>字词问题</groupName>
      <ability>L2_Typo</ability>
      <abilityName>字词错误</abilityName>
      <candidateList>
        <item>上限</item>
      </candidateList>
      <explain/>
      <paraID>2E1C2C47</paraID>
      <start>94</start>
      <end>96</end>
      <status>unmodified</status>
      <modifiedWord/>
      <trackRevisions>false</trackRevisions>
    </reviewItem>
    <reviewItem>
      <errorID>f0954854-17b1-463d-99f7-a563e41d14ab</errorID>
      <errorWord>上线</errorWord>
      <group>L1_Word</group>
      <groupName>字词问题</groupName>
      <ability>L2_Typo</ability>
      <abilityName>字词错误</abilityName>
      <candidateList>
        <item>上限</item>
      </candidateList>
      <explain/>
      <paraID>6A709617</paraID>
      <start>49</start>
      <end>51</end>
      <status>unmodified</status>
      <modifiedWord/>
      <trackRevisions>false</trackRevisions>
    </reviewItem>
    <reviewItem>
      <errorID>27e94331-6c12-4f49-8ab1-6f6304748d1b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366A4773</paraID>
      <start>0</start>
      <end>2</end>
      <status>unmodified</status>
      <modifiedWord/>
      <trackRevisions>false</trackRevisions>
    </reviewItem>
    <reviewItem>
      <errorID>44399870-63f6-41f3-91d3-8c87e8509249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5CDBDCF4</paraID>
      <start>0</start>
      <end>2</end>
      <status>unmodified</status>
      <modifiedWord/>
      <trackRevisions>false</trackRevisions>
    </reviewItem>
    <reviewItem>
      <errorID>eab53123-efc5-4cde-9b94-31dfc3922367</errorID>
      <errorWord>上线</errorWord>
      <group>L1_Word</group>
      <groupName>字词问题</groupName>
      <ability>L2_Typo</ability>
      <abilityName>字词错误</abilityName>
      <candidateList>
        <item>上限</item>
      </candidateList>
      <explain/>
      <paraID>28842914</paraID>
      <start>48</start>
      <end>50</end>
      <status>unmodified</status>
      <modifiedWord/>
      <trackRevisions>false</trackRevisions>
    </reviewItem>
    <reviewItem>
      <errorID>67f59d9f-2faa-4819-8fb3-ad0c43d5462a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DCF2261</paraID>
      <start>0</start>
      <end>2</end>
      <status>unmodified</status>
      <modifiedWord/>
      <trackRevisions>false</trackRevisions>
    </reviewItem>
    <reviewItem>
      <errorID>8e741e4c-1f26-4335-bccd-44064f22ab95</errorID>
      <errorWord>;</errorWord>
      <group>L1_Format</group>
      <groupName>格式问题</groupName>
      <ability>L2_HalfPunc_CN</ability>
      <abilityName>全半角问题</abilityName>
      <candidateList>
        <item>；</item>
      </candidateList>
      <explain>文本全半角错误。</explain>
      <paraID>25C8F217</paraID>
      <start>89</start>
      <end>90</end>
      <status>unmodified</status>
      <modifiedWord/>
      <trackRevisions>false</trackRevisions>
    </reviewItem>
    <reviewItem>
      <errorID>ad43bbf7-d2ae-41d8-96ed-75e99968f3dd</errorID>
      <errorWord>存贮</errorWord>
      <group>L1_Word</group>
      <groupName>字词问题</groupName>
      <ability>L2_Typo</ability>
      <abilityName>字词错误</abilityName>
      <candidateList>
        <item>贮存</item>
      </candidateList>
      <explain/>
      <paraID>799B76A5</paraID>
      <start>11</start>
      <end>13</end>
      <status>unmodified</status>
      <modifiedWord/>
      <trackRevisions>false</trackRevisions>
    </reviewItem>
    <reviewItem>
      <errorID>1d42dee0-988a-4416-8e44-e7a4df26efef</errorID>
      <errorWord>[2021]21号</errorWord>
      <group>L1_Knowledge</group>
      <groupName>知识性问题</groupName>
      <ability>L2_Knowledge</ability>
      <abilityName>其他知识</abilityName>
      <candidateList>
        <item>〔2021〕21号</item>
      </candidateList>
      <explain>发文字号格式错误。</explain>
      <paraID>257E2228</paraID>
      <start>17</start>
      <end>26</end>
      <status>unmodified</status>
      <modifiedWord/>
      <trackRevisions>false</trackRevisions>
    </reviewItem>
    <reviewItem>
      <errorID>b0d91b8e-1dde-4338-a2e3-ad3a5e145a7c</errorID>
      <errorWord>法律、法规</errorWord>
      <group>L1_Word</group>
      <groupName>字词问题</groupName>
      <ability>L2_Typo</ability>
      <abilityName>字词错误</abilityName>
      <candidateList>
        <item>法律法规</item>
      </candidateList>
      <explain/>
      <paraID>3604D000</paraID>
      <start>3</start>
      <end>8</end>
      <status>unmodified</status>
      <modifiedWord/>
      <trackRevisions>false</trackRevisions>
    </reviewItem>
    <reviewItem>
      <errorID>342d6460-fba7-4d85-909c-066c678086f8</errorID>
      <errorWord>文中</errorWord>
      <group>L1_Word</group>
      <groupName>字词问题</groupName>
      <ability>L2_Typo</ability>
      <abilityName>字词错误</abilityName>
      <candidateList>
        <item>中</item>
      </candidateList>
      <explain/>
      <paraID>1B770F51</paraID>
      <start>30</start>
      <end>32</end>
      <status>unmodified</status>
      <modifiedWord/>
      <trackRevisions>false</trackRevisions>
    </reviewItem>
    <reviewItem>
      <errorID>38c7e225-bde8-4691-8d98-cbda7ad32908</errorID>
      <errorWord>(</errorWord>
      <group>L1_Format</group>
      <groupName>格式问题</groupName>
      <ability>L2_HalfPunc_CN</ability>
      <abilityName>全半角问题</abilityName>
      <candidateList>
        <item>（</item>
      </candidateList>
      <explain>文本全半角错误。</explain>
      <paraID>5AE1E330</paraID>
      <start>128</start>
      <end>129</end>
      <status>unmodified</status>
      <modifiedWord/>
      <trackRevisions>false</trackRevisions>
    </reviewItem>
    <reviewItem>
      <errorID>e871f332-826a-431e-b1e5-6e4c92b01887</errorID>
      <errorWord>)</errorWord>
      <group>L1_Format</group>
      <groupName>格式问题</groupName>
      <ability>L2_HalfPunc_CN</ability>
      <abilityName>全半角问题</abilityName>
      <candidateList>
        <item>）</item>
      </candidateList>
      <explain>文本全半角错误。</explain>
      <paraID>5AE1E330</paraID>
      <start>131</start>
      <end>132</end>
      <status>unmodified</status>
      <modifiedWord/>
      <trackRevisions>false</trackRevisions>
    </reviewItem>
    <reviewItem>
      <errorID>18b701c0-3b01-4dac-b3dc-507212ef531b</errorID>
      <errorWord>(</errorWord>
      <group>L1_Format</group>
      <groupName>格式问题</groupName>
      <ability>L2_HalfPunc_CN</ability>
      <abilityName>全半角问题</abilityName>
      <candidateList>
        <item>（</item>
      </candidateList>
      <explain>文本全半角错误。</explain>
      <paraID>357617DE</paraID>
      <start>101</start>
      <end>102</end>
      <status>unmodified</status>
      <modifiedWord/>
      <trackRevisions>false</trackRevisions>
    </reviewItem>
    <reviewItem>
      <errorID>571eb2e6-ad1d-4183-ac17-f4873ba8daee</errorID>
      <errorWord>)</errorWord>
      <group>L1_Format</group>
      <groupName>格式问题</groupName>
      <ability>L2_HalfPunc_CN</ability>
      <abilityName>全半角问题</abilityName>
      <candidateList>
        <item>）</item>
      </candidateList>
      <explain>文本全半角错误。</explain>
      <paraID>357617DE</paraID>
      <start>104</start>
      <end>105</end>
      <status>unmodified</status>
      <modifiedWord/>
      <trackRevisions>false</trackRevisions>
    </reviewItem>
    <reviewItem>
      <errorID>c0f0928f-ac54-418d-9dc6-42f599764f27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6FF2559E</paraID>
      <start>23</start>
      <end>24</end>
      <status>unmodified</status>
      <modifiedWord/>
      <trackRevisions>false</trackRevisions>
    </reviewItem>
    <reviewItem>
      <errorID>38f410d8-a1cf-40a7-abe9-584dcfe3edb5</errorID>
      <errorWord>经济的高质量发展</errorWord>
      <group>L1_Word</group>
      <groupName>字词问题</groupName>
      <ability>L2_Typo</ability>
      <abilityName>字词错误</abilityName>
      <candidateList>
        <item>经济高质量发展</item>
      </candidateList>
      <explain/>
      <paraID>75F9D834</paraID>
      <start>30</start>
      <end>38</end>
      <status>unmodified</status>
      <modifiedWord/>
      <trackRevisions>false</trackRevisions>
    </reviewItem>
    <reviewItem>
      <errorID>eb7bf733-7765-467f-b56d-596f5833f108</errorID>
      <errorWord>核心价值观</errorWord>
      <group>L1_Political</group>
      <groupName>政治性问题</groupName>
      <ability>L2_Unpolitical</ability>
      <abilityName>政治敏感错误</abilityName>
      <candidateList>
        <item>社会主义核心价值观</item>
      </candidateList>
      <explain/>
      <paraID>4BD94159</paraID>
      <start>29</start>
      <end>34</end>
      <status>unmodified</status>
      <modifiedWord/>
      <trackRevisions>false</trackRevisions>
    </reviewItem>
    <reviewItem>
      <errorID>e6fd34b4-8e4d-4df5-9c8e-bd0e9197ec6c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2478D64B</paraID>
      <start>59</start>
      <end>60</end>
      <status>unmodified</status>
      <modifiedWord/>
      <trackRevisions>false</trackRevisions>
    </reviewItem>
    <reviewItem>
      <errorID>0758113c-412d-4a84-ac94-54f5210842d8</errorID>
      <errorWord>原由</errorWord>
      <group>L1_Word</group>
      <groupName>字词问题</groupName>
      <ability>L2_Variant</ability>
      <abilityName>异形词</abilityName>
      <candidateList>
        <item>缘由</item>
      </candidateList>
      <explain>词汇[原由]的规范词形写作[缘由]。</explain>
      <paraID>25E4C758</paraID>
      <start>67</start>
      <end>69</end>
      <status>unmodified</status>
      <modifiedWord/>
      <trackRevisions>false</trackRevisions>
    </reviewItem>
    <reviewItem>
      <errorID>266488a2-8f26-4e39-af80-0ff7a29c9fa8</errorID>
      <errorWord>2016年05月26日</errorWord>
      <group>L1_Knowledge</group>
      <groupName>知识性问题</groupName>
      <ability>L2_Time</ability>
      <abilityName>日期时间</abilityName>
      <candidateList>
        <item>2016年5月26日</item>
      </candidateList>
      <explain>根据日常书写习惯，月份一般会省略前导零。</explain>
      <paraID>25E4C758</paraID>
      <start>125</start>
      <end>136</end>
      <status>unmodified</status>
      <modifiedWord/>
      <trackRevisions>false</trackRevisions>
    </reviewItem>
    <reviewItem>
      <errorID>ab22a717-c28c-43f6-a724-fc5d74293584</errorID>
      <errorWord>大大将低</errorWord>
      <group>L1_Word</group>
      <groupName>字词问题</groupName>
      <ability>L2_Typo</ability>
      <abilityName>字词错误</abilityName>
      <candidateList>
        <item>大大降低</item>
      </candidateList>
      <explain/>
      <paraID>25E4C758</paraID>
      <start>405</start>
      <end>409</end>
      <status>unmodified</status>
      <modifiedWord/>
      <trackRevisions>false</trackRevisions>
    </reviewItem>
    <reviewItem>
      <errorID>1cc3222b-4fd1-42e6-b2fd-e94a70386ef0</errorID>
      <errorWord>做为</errorWord>
      <group>L1_Word</group>
      <groupName>字词问题</groupName>
      <ability>L2_Typo</ability>
      <abilityName>字词错误</abilityName>
      <candidateList>
        <item>作为</item>
      </candidateList>
      <explain>存在发音相同字词的误用。</explain>
      <paraID>25E4C758</paraID>
      <start>473</start>
      <end>475</end>
      <status>unmodified</status>
      <modifiedWord/>
      <trackRevisions>false</trackRevisions>
    </reviewItem>
    <reviewItem>
      <errorID>d5dbc5ad-9b10-4e37-8c65-0204c7b7c5d0</errorID>
      <errorWord>，</errorWord>
      <group>L1_Format</group>
      <groupName>格式问题</groupName>
      <ability>L2_HalfPunc_CN</ability>
      <abilityName>全半角问题</abilityName>
      <candidateList>
        <item>, </item>
      </candidateList>
      <explain>文本全半角错误。</explain>
      <paraID>42DA826E</paraID>
      <start>10</start>
      <end>11</end>
      <status>unmodified</status>
      <modifiedWord/>
      <trackRevisions>false</trackRevisions>
    </reviewItem>
    <reviewItem>
      <errorID>77097450-e160-48d5-ba22-b8421d064927</errorID>
      <errorWord>KW</errorWord>
      <group>L1_Word</group>
      <groupName>字词问题</groupName>
      <ability>L2_Typo</ability>
      <abilityName>字词错误</abilityName>
      <candidateList>
        <item>kW</item>
      </candidateList>
      <explain/>
      <paraID>42DA826E</paraID>
      <start>21</start>
      <end>23</end>
      <status>unmodified</status>
      <modifiedWord/>
      <trackRevisions>false</trackRevisions>
    </reviewItem>
    <reviewItem>
      <errorID>f8d9af4c-1d13-4ced-b86c-3780287a44ed</errorID>
      <errorWord>KW</errorWord>
      <group>L1_Word</group>
      <groupName>字词问题</groupName>
      <ability>L2_Typo</ability>
      <abilityName>字词错误</abilityName>
      <candidateList>
        <item>kW</item>
      </candidateList>
      <explain/>
      <paraID>4C1CF6EC</paraID>
      <start>20</start>
      <end>22</end>
      <status>unmodified</status>
      <modifiedWord/>
      <trackRevisions>false</trackRevisions>
    </reviewItem>
    <reviewItem>
      <errorID>c4442aac-82f2-4539-82e9-6da17955e688</errorID>
      <errorWord>98%-99%</errorWord>
      <group>L1_Knowledge</group>
      <groupName>知识性问题</groupName>
      <ability>L2_Knowledge</ability>
      <abilityName>其他知识</abilityName>
      <candidateList>
        <item>98%—99%</item>
      </candidateList>
      <explain>1. “98%-99%”中的单位“%”仅出现在后一个数字上，容易引起歧义；根据《现代汉语标点符号数字用法规范手册》，数字表示范围两边需要使用统一的格式。2. 根据标点国标 4.13 中的规则，数字、时间或地域连接符应使用（视觉上更长的）“—”或“～”。</explain>
      <paraID>23F526AD</paraID>
      <start>20</start>
      <end>27</end>
      <status>unmodified</status>
      <modifiedWord/>
      <trackRevisions>false</trackRevisions>
    </reviewItem>
    <reviewItem>
      <errorID>cb242d28-ba83-441d-86b7-80f8e98dadfc</errorID>
      <errorWord>KW</errorWord>
      <group>L1_Word</group>
      <groupName>字词问题</groupName>
      <ability>L2_Typo</ability>
      <abilityName>字词错误</abilityName>
      <candidateList>
        <item>kW</item>
      </candidateList>
      <explain/>
      <paraID>24A1FA63</paraID>
      <start>22</start>
      <end>24</end>
      <status>unmodified</status>
      <modifiedWord/>
      <trackRevisions>false</trackRevisions>
    </reviewItem>
    <reviewItem>
      <errorID>e9074b53-69b2-4779-8e21-1c8a415f05e4</errorID>
      <errorWord>软</errorWord>
      <group>L1_Word</group>
      <groupName>字词问题</groupName>
      <ability>L2_Typo</ability>
      <abilityName>字词错误</abilityName>
      <candidateList>
        <item>软化</item>
      </candidateList>
      <explain/>
      <paraID>19268A0E</paraID>
      <start>171</start>
      <end>172</end>
      <status>unmodified</status>
      <modifiedWord/>
      <trackRevisions>false</trackRevisions>
    </reviewItem>
    <reviewItem>
      <errorID>d58d4c74-486d-4e0d-8fcf-cc9fb04d1d6a</errorID>
      <errorWord>炉</errorWord>
      <group>L1_Word</group>
      <groupName>字词问题</groupName>
      <ability>L2_Typo</ability>
      <abilityName>字词错误</abilityName>
      <candidateList>
        <item>炉在</item>
      </candidateList>
      <explain/>
      <paraID> 9DD570F</paraID>
      <start>39</start>
      <end>40</end>
      <status>unmodified</status>
      <modifiedWord/>
      <trackRevisions>false</trackRevisions>
    </reviewItem>
    <reviewItem>
      <errorID>13493001-cd37-4af0-a74f-d882e775506d</errorID>
      <errorWord>[2006]222号</errorWord>
      <group>L1_Knowledge</group>
      <groupName>知识性问题</groupName>
      <ability>L2_Knowledge</ability>
      <abilityName>其他知识</abilityName>
      <candidateList>
        <item>〔2006〕222号</item>
      </candidateList>
      <explain>发文字号格式错误。</explain>
      <paraID>53C14300</paraID>
      <start>21</start>
      <end>31</end>
      <status>unmodified</status>
      <modifiedWord/>
      <trackRevisions>false</trackRevisions>
    </reviewItem>
    <reviewItem>
      <errorID>38372b52-4cb1-4721-9655-8aa875489558</errorID>
      <errorWord>[2022]47号</errorWord>
      <group>L1_Knowledge</group>
      <groupName>知识性问题</groupName>
      <ability>L2_Knowledge</ability>
      <abilityName>其他知识</abilityName>
      <candidateList>
        <item>〔2022〕47号</item>
      </candidateList>
      <explain>发文字号格式错误。</explain>
      <paraID> 5DA07E6</paraID>
      <start>26</start>
      <end>35</end>
      <status>unmodified</status>
      <modifiedWord/>
      <trackRevisions>false</trackRevisions>
    </reviewItem>
    <reviewItem>
      <errorID>dd4dc00f-f70a-432c-8ae0-41e9cfad44d3</errorID>
      <errorWord>（</errorWord>
      <group>L1_Punc</group>
      <groupName>标点问题</groupName>
      <ability>L2_Punc_CN</ability>
      <abilityName>标点符号问题</abilityName>
      <candidateList/>
      <explain>同一形式括号套用。</explain>
      <paraID>6BBBE681</paraID>
      <start>105</start>
      <end>106</end>
      <status>unmodified</status>
      <modifiedWord/>
      <trackRevisions>false</trackRevisions>
    </reviewItem>
    <reviewItem>
      <errorID>16bf4dd6-bb37-4c77-814f-dd0260530652</errorID>
      <errorWord>）</errorWord>
      <group>L1_Punc</group>
      <groupName>标点问题</groupName>
      <ability>L2_Punc_CN</ability>
      <abilityName>标点符号问题</abilityName>
      <candidateList/>
      <explain>同一形式括号套用。</explain>
      <paraID>6BBBE681</paraID>
      <start>107</start>
      <end>108</end>
      <status>unmodified</status>
      <modifiedWord/>
      <trackRevisions>false</trackRevisions>
    </reviewItem>
    <reviewItem>
      <errorID>714b629c-1521-4d0f-8472-f3a207af2f4b</errorID>
      <errorWord>原山西省</errorWord>
      <group>L1_Knowledge</group>
      <groupName>知识性问题</groupName>
      <ability>L2_Knowledge</ability>
      <abilityName>其他知识</abilityName>
      <candidateList>
        <item>山西省原</item>
      </candidateList>
      <explain/>
      <paraID>2EA37590</paraID>
      <start>10</start>
      <end>14</end>
      <status>unmodified</status>
      <modifiedWord/>
      <trackRevisions>false</trackRevisions>
    </reviewItem>
    <reviewItem>
      <errorID>06bcda85-9b05-45fa-b206-b098ff979d24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22462FE3</paraID>
      <start>128</start>
      <end>129</end>
      <status>unmodified</status>
      <modifiedWord/>
      <trackRevisions>false</trackRevisions>
    </reviewItem>
    <reviewItem>
      <errorID>85e8a19b-e5b7-40f7-968f-38f6a1dece3d</errorID>
      <errorWord>》（试行）</errorWord>
      <group>L1_Word</group>
      <groupName>字词问题</groupName>
      <ability>L2_Typo</ability>
      <abilityName>字词错误</abilityName>
      <candidateList>
        <item>（试行）》</item>
      </candidateList>
      <explain/>
      <paraID> F7A1CC1</paraID>
      <start>27</start>
      <end>32</end>
      <status>unmodified</status>
      <modifiedWord/>
      <trackRevisions>false</trackRevisions>
    </reviewItem>
    <reviewItem>
      <errorID>fc133673-16d1-479e-9934-de4d3d6ad2a2</errorID>
      <errorWord>（</errorWord>
      <group>L1_Punc</group>
      <groupName>标点问题</groupName>
      <ability>L2_Punc_CN</ability>
      <abilityName>标点符号问题</abilityName>
      <candidateList/>
      <explain>同一形式括号套用。</explain>
      <paraID> 844177B</paraID>
      <start>2</start>
      <end>3</end>
      <status>unmodified</status>
      <modifiedWord/>
      <trackRevisions>false</trackRevisions>
    </reviewItem>
    <reviewItem>
      <errorID>98acf4e5-6729-4600-a549-9a68496d9bda</errorID>
      <errorWord>(</errorWord>
      <group>L1_Punc</group>
      <groupName>标点问题</groupName>
      <ability>L2_Punc_CN</ability>
      <abilityName>标点符号问题</abilityName>
      <candidateList/>
      <explain>同一形式括号套用。</explain>
      <paraID> 844177B</paraID>
      <start>5</start>
      <end>6</end>
      <status>unmodified</status>
      <modifiedWord/>
      <trackRevisions>false</trackRevisions>
    </reviewItem>
    <reviewItem>
      <errorID>344963ed-6151-40f0-9a40-0251dfceed9e</errorID>
      <errorWord>)</errorWord>
      <group>L1_Punc</group>
      <groupName>标点问题</groupName>
      <ability>L2_Punc_CN</ability>
      <abilityName>标点符号问题</abilityName>
      <candidateList/>
      <explain>同一形式括号套用。</explain>
      <paraID> 844177B</paraID>
      <start>7</start>
      <end>8</end>
      <status>unmodified</status>
      <modifiedWord/>
      <trackRevisions>false</trackRevisions>
    </reviewItem>
    <reviewItem>
      <errorID>776bc080-bcae-4392-92e8-4a01fc22a7f7</errorID>
      <errorWord>）</errorWord>
      <group>L1_Punc</group>
      <groupName>标点问题</groupName>
      <ability>L2_Punc_CN</ability>
      <abilityName>标点符号问题</abilityName>
      <candidateList/>
      <explain>同一形式括号套用。</explain>
      <paraID> 844177B</paraID>
      <start>8</start>
      <end>9</end>
      <status>unmodified</status>
      <modifiedWord/>
      <trackRevisions>false</trackRevisions>
    </reviewItem>
    <reviewItem>
      <errorID>e2205502-5435-41a7-8d86-1c5adfbebb3d</errorID>
      <errorWord>（</errorWord>
      <group>L1_Punc</group>
      <groupName>标点问题</groupName>
      <ability>L2_Punc_CN</ability>
      <abilityName>标点符号问题</abilityName>
      <candidateList/>
      <explain>同一形式括号套用。</explain>
      <paraID>38CEB296</paraID>
      <start>2</start>
      <end>3</end>
      <status>unmodified</status>
      <modifiedWord/>
      <trackRevisions>false</trackRevisions>
    </reviewItem>
    <reviewItem>
      <errorID>4085f29f-f075-47ca-a8f3-f68ac65b5c5b</errorID>
      <errorWord>(</errorWord>
      <group>L1_Punc</group>
      <groupName>标点问题</groupName>
      <ability>L2_Punc_CN</ability>
      <abilityName>标点符号问题</abilityName>
      <candidateList/>
      <explain>同一形式括号套用。</explain>
      <paraID>38CEB296</paraID>
      <start>5</start>
      <end>6</end>
      <status>unmodified</status>
      <modifiedWord/>
      <trackRevisions>false</trackRevisions>
    </reviewItem>
    <reviewItem>
      <errorID>d4f888d3-5a97-44f7-a45a-6c8cbf07bc63</errorID>
      <errorWord>)</errorWord>
      <group>L1_Punc</group>
      <groupName>标点问题</groupName>
      <ability>L2_Punc_CN</ability>
      <abilityName>标点符号问题</abilityName>
      <candidateList/>
      <explain>同一形式括号套用。</explain>
      <paraID>38CEB296</paraID>
      <start>7</start>
      <end>8</end>
      <status>unmodified</status>
      <modifiedWord/>
      <trackRevisions>false</trackRevisions>
    </reviewItem>
    <reviewItem>
      <errorID>56359c21-67a3-4e33-9249-5e8d75e96d15</errorID>
      <errorWord>）</errorWord>
      <group>L1_Punc</group>
      <groupName>标点问题</groupName>
      <ability>L2_Punc_CN</ability>
      <abilityName>标点符号问题</abilityName>
      <candidateList/>
      <explain>同一形式括号套用。</explain>
      <paraID>38CEB296</paraID>
      <start>8</start>
      <end>9</end>
      <status>unmodified</status>
      <modifiedWord/>
      <trackRevisions>false</trackRevisions>
    </reviewItem>
    <reviewItem>
      <errorID>176a4222-c9bd-4bfb-8e69-ad44d2b04a2a</errorID>
      <errorWord>(</errorWord>
      <group>L1_Format</group>
      <groupName>格式问题</groupName>
      <ability>L2_HalfPunc_CN</ability>
      <abilityName>全半角问题</abilityName>
      <candidateList>
        <item>（</item>
      </candidateList>
      <explain>文本全半角错误。</explain>
      <paraID>672D9500</paraID>
      <start>59</start>
      <end>60</end>
      <status>unmodified</status>
      <modifiedWord/>
      <trackRevisions>false</trackRevisions>
    </reviewItem>
    <reviewItem>
      <errorID>9b19d28f-e1be-48b7-94bd-a48703a97cd4</errorID>
      <errorWord>)</errorWord>
      <group>L1_Format</group>
      <groupName>格式问题</groupName>
      <ability>L2_HalfPunc_CN</ability>
      <abilityName>全半角问题</abilityName>
      <candidateList>
        <item>）</item>
      </candidateList>
      <explain>文本全半角错误。</explain>
      <paraID>672D9500</paraID>
      <start>68</start>
      <end>69</end>
      <status>unmodified</status>
      <modifiedWord/>
      <trackRevisions>false</trackRevisions>
    </reviewItem>
    <reviewItem>
      <errorID>9a690504-306d-4153-ae28-f74bdde3bfc6</errorID>
      <errorWord>[2023]1号</errorWord>
      <group>L1_Knowledge</group>
      <groupName>知识性问题</groupName>
      <ability>L2_Knowledge</ability>
      <abilityName>其他知识</abilityName>
      <candidateList>
        <item>〔2023〕1号</item>
      </candidateList>
      <explain>发文字号格式错误。</explain>
      <paraID>2B64DB5B</paraID>
      <start>37</start>
      <end>45</end>
      <status>unmodified</status>
      <modifiedWord/>
      <trackRevisions>false</trackRevisions>
    </reviewItem>
    <reviewItem>
      <errorID>75706ced-0d32-463b-b4c7-f7030e6a02a3</errorID>
      <errorWord>文</errorWord>
      <group>L1_Word</group>
      <groupName>字词问题</groupName>
      <ability>L2_Typo</ability>
      <abilityName>字词错误</abilityName>
      <candidateList>
        <item>文件</item>
      </candidateList>
      <explain/>
      <paraID>2B64DB5B</paraID>
      <start>46</start>
      <end>47</end>
      <status>unmodified</status>
      <modifiedWord/>
      <trackRevisions>false</trackRevisions>
    </reviewItem>
    <reviewItem>
      <errorID>f1d15ab8-aa31-441f-a904-eeb79f94bfbd</errorID>
      <errorWord>天燃气</errorWord>
      <group>L1_Word</group>
      <groupName>字词问题</groupName>
      <ability>L2_Typo</ability>
      <abilityName>字词错误</abilityName>
      <candidateList>
        <item>天然气</item>
      </candidateList>
      <explain/>
      <paraID>74687C0F</paraID>
      <start>29</start>
      <end>32</end>
      <status>unmodified</status>
      <modifiedWord/>
      <trackRevisions>false</trackRevisions>
    </reviewItem>
    <reviewItem>
      <errorID>6651faa6-c00a-4e14-b164-2d66e4c57b9d</errorID>
      <errorWord>（</errorWord>
      <group>L1_Format</group>
      <groupName>格式问题</groupName>
      <ability>L2_HalfPunc_CN</ability>
      <abilityName>全半角问题</abilityName>
      <candidateList>
        <item>(</item>
      </candidateList>
      <explain>文本全半角错误。</explain>
      <paraID>1307C815</paraID>
      <start>11</start>
      <end>12</end>
      <status>unmodified</status>
      <modifiedWord/>
      <trackRevisions>false</trackRevisions>
    </reviewItem>
    <reviewItem>
      <errorID>e5762987-1d76-48a0-b83b-6bbd6472c694</errorID>
      <errorWord>）</errorWord>
      <group>L1_Format</group>
      <groupName>格式问题</groupName>
      <ability>L2_HalfPunc_CN</ability>
      <abilityName>全半角问题</abilityName>
      <candidateList>
        <item>)</item>
      </candidateList>
      <explain>文本全半角错误。</explain>
      <paraID>1307C815</paraID>
      <start>19</start>
      <end>20</end>
      <status>unmodified</status>
      <modifiedWord/>
      <trackRevisions>false</trackRevisions>
    </reviewItem>
    <reviewItem>
      <errorID>aedced82-3a1d-49aa-8205-efb2dcb849ff</errorID>
      <errorWord>天燃气</errorWord>
      <group>L1_Word</group>
      <groupName>字词问题</groupName>
      <ability>L2_Typo</ability>
      <abilityName>字词错误</abilityName>
      <candidateList>
        <item>天然气</item>
      </candidateList>
      <explain/>
      <paraID>2A52B49E</paraID>
      <start>5</start>
      <end>8</end>
      <status>unmodified</status>
      <modifiedWord/>
      <trackRevisions>false</trackRevisions>
    </reviewItem>
    <reviewItem>
      <errorID>11d43559-f8db-46d5-a828-6c4cb49d9199</errorID>
      <errorWord>满</errorWord>
      <group>L1_Word</group>
      <groupName>字词问题</groupName>
      <ability>L2_Typo</ability>
      <abilityName>字词错误</abilityName>
      <candidateList>
        <item>满足</item>
      </candidateList>
      <explain/>
      <paraID>2A52B49E</paraID>
      <start>64</start>
      <end>65</end>
      <status>unmodified</status>
      <modifiedWord/>
      <trackRevisions>false</trackRevisions>
    </reviewItem>
    <reviewItem>
      <errorID>709ee960-f553-4819-85dc-ea9fed2037b1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917E255</paraID>
      <start>0</start>
      <end>2</end>
      <status>unmodified</status>
      <modifiedWord/>
      <trackRevisions>false</trackRevisions>
    </reviewItem>
    <reviewItem>
      <errorID>2af82e92-98e4-4ed0-959e-deb2d5d2d48d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6D93D90</paraID>
      <start>0</start>
      <end>2</end>
      <status>unmodified</status>
      <modifiedWord/>
      <trackRevisions>false</trackRevisions>
    </reviewItem>
    <reviewItem>
      <errorID>681fc3f5-0912-49ca-a6eb-a671468cfb1a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2489158A</paraID>
      <start>0</start>
      <end>2</end>
      <status>unmodified</status>
      <modifiedWord/>
      <trackRevisions>false</trackRevisions>
    </reviewItem>
    <reviewItem>
      <errorID>b2cdcb99-d07a-494e-b7b0-b176c1e1c061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74F04716</paraID>
      <start>0</start>
      <end>2</end>
      <status>unmodified</status>
      <modifiedWord/>
      <trackRevisions>false</trackRevisions>
    </reviewItem>
    <reviewItem>
      <errorID>fa4caef9-ccbd-481e-931a-008bd509c946</errorID>
      <errorWord>(</errorWord>
      <group>L1_Format</group>
      <groupName>格式问题</groupName>
      <ability>L2_HalfPunc_CN</ability>
      <abilityName>全半角问题</abilityName>
      <candidateList>
        <item>（</item>
      </candidateList>
      <explain>文本全半角错误。</explain>
      <paraID>4DD47EBB</paraID>
      <start>18</start>
      <end>19</end>
      <status>unmodified</status>
      <modifiedWord/>
      <trackRevisions>false</trackRevisions>
    </reviewItem>
    <reviewItem>
      <errorID>ded1f6e3-635e-4a42-8a6d-24a4a9dcdcb6</errorID>
      <errorWord>)</errorWord>
      <group>L1_Format</group>
      <groupName>格式问题</groupName>
      <ability>L2_HalfPunc_CN</ability>
      <abilityName>全半角问题</abilityName>
      <candidateList>
        <item>）</item>
      </candidateList>
      <explain>文本全半角错误。</explain>
      <paraID>4DD47EBB</paraID>
      <start>23</start>
      <end>24</end>
      <status>unmodified</status>
      <modifiedWord/>
      <trackRevisions>false</trackRevisions>
    </reviewItem>
    <reviewItem>
      <errorID>72f4b7ed-0e7c-44a8-9ae0-17aac56bc273</errorID>
      <errorWord>80%~85%</errorWord>
      <group>L1_Knowledge</group>
      <groupName>知识性问题</groupName>
      <ability>L2_Knowledge</ability>
      <abilityName>其他知识</abilityName>
      <candidateList>
        <item>80%～85%</item>
      </candidateList>
      <explain>1. “80%~85%”中的单位“%”仅出现在后一个数字上，容易引起歧义；根据《现代汉语标点符号数字用法规范手册》，数字表示范围两边需要使用统一的格式。2. 根据标点国标 4.13 中的规则，数字、时间或地域连接符应使用（视觉上更长的）“—”或“～”。</explain>
      <paraID>4DD47EBB</paraID>
      <start>60</start>
      <end>67</end>
      <status>unmodified</status>
      <modifiedWord/>
      <trackRevisions>false</trackRevisions>
    </reviewItem>
    <reviewItem>
      <errorID>79f65d36-120a-4896-b65a-62d925f0d28d</errorID>
      <errorWord>15%~20%</errorWord>
      <group>L1_Knowledge</group>
      <groupName>知识性问题</groupName>
      <ability>L2_Knowledge</ability>
      <abilityName>其他知识</abilityName>
      <candidateList>
        <item>15%～20%</item>
      </candidateList>
      <explain>1. “15%~20%”中的单位“%”仅出现在后一个数字上，容易引起歧义；根据《现代汉语标点符号数字用法规范手册》，数字表示范围两边需要使用统一的格式。2. 根据标点国标 4.13 中的规则，数字、时间或地域连接符应使用（视觉上更长的）“—”或“～”。</explain>
      <paraID>4DD47EBB</paraID>
      <start>94</start>
      <end>101</end>
      <status>unmodified</status>
      <modifiedWord/>
      <trackRevisions>false</trackRevisions>
    </reviewItem>
    <reviewItem>
      <errorID>b5d70483-3dd3-485a-936c-e4d723006a97</errorID>
      <errorWord>(</errorWord>
      <group>L1_Format</group>
      <groupName>格式问题</groupName>
      <ability>L2_HalfPunc_CN</ability>
      <abilityName>全半角问题</abilityName>
      <candidateList>
        <item>（</item>
      </candidateList>
      <explain>文本全半角错误。</explain>
      <paraID>4DD47EBB</paraID>
      <start>285</start>
      <end>286</end>
      <status>unmodified</status>
      <modifiedWord/>
      <trackRevisions>false</trackRevisions>
    </reviewItem>
    <reviewItem>
      <errorID>a96852bc-5a60-4732-97bf-9020556c9825</errorID>
      <errorWord>)</errorWord>
      <group>L1_Format</group>
      <groupName>格式问题</groupName>
      <ability>L2_HalfPunc_CN</ability>
      <abilityName>全半角问题</abilityName>
      <candidateList>
        <item>）</item>
      </candidateList>
      <explain>文本全半角错误。</explain>
      <paraID>4DD47EBB</paraID>
      <start>296</start>
      <end>297</end>
      <status>unmodified</status>
      <modifiedWord/>
      <trackRevisions>false</trackRevisions>
    </reviewItem>
    <reviewItem>
      <errorID>3ec91540-24ab-4ea0-82cc-4cc4ebbf22b3</errorID>
      <errorWord>(</errorWord>
      <group>L1_Format</group>
      <groupName>格式问题</groupName>
      <ability>L2_HalfPunc_CN</ability>
      <abilityName>全半角问题</abilityName>
      <candidateList>
        <item>（</item>
      </candidateList>
      <explain>文本全半角错误。</explain>
      <paraID>46339D90</paraID>
      <start>21</start>
      <end>22</end>
      <status>unmodified</status>
      <modifiedWord/>
      <trackRevisions>false</trackRevisions>
    </reviewItem>
    <reviewItem>
      <errorID>7af13ea9-23a9-41b4-becd-fd9ae896c55d</errorID>
      <errorWord>)</errorWord>
      <group>L1_Format</group>
      <groupName>格式问题</groupName>
      <ability>L2_HalfPunc_CN</ability>
      <abilityName>全半角问题</abilityName>
      <candidateList>
        <item>）</item>
      </candidateList>
      <explain>文本全半角错误。</explain>
      <paraID>46339D90</paraID>
      <start>32</start>
      <end>33</end>
      <status>unmodified</status>
      <modifiedWord/>
      <trackRevisions>false</trackRevisions>
    </reviewItem>
    <reviewItem>
      <errorID>35f3d086-aba7-4a94-bbf5-846b0b668878</errorID>
      <errorWord>可性</errorWord>
      <group>L1_Word</group>
      <groupName>字词问题</groupName>
      <ability>L2_Typo</ability>
      <abilityName>字词错误</abilityName>
      <candidateList>
        <item>可行</item>
      </candidateList>
      <explain>存在发音相同字词的误用。</explain>
      <paraID>11BBD4F6</paraID>
      <start>0</start>
      <end>2</end>
      <status>unmodified</status>
      <modifiedWord/>
      <trackRevisions>false</trackRevisions>
    </reviewItem>
    <reviewItem>
      <errorID>486e5ba9-8cf9-4ca5-ac60-cc39e03f01eb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6BE73B1D</paraID>
      <start>0</start>
      <end>2</end>
      <status>unmodified</status>
      <modifiedWord/>
      <trackRevisions>false</trackRevisions>
    </reviewItem>
    <reviewItem>
      <errorID>af8ba05c-6c57-4b9a-abd9-36df53a098fa</errorID>
      <errorWord>)</errorWord>
      <group>L1_Format</group>
      <groupName>格式问题</groupName>
      <ability>L2_HalfPunc_CN</ability>
      <abilityName>全半角问题</abilityName>
      <candidateList>
        <item>）</item>
      </candidateList>
      <explain>文本全半角错误。</explain>
      <paraID>2E4C9B49</paraID>
      <start>16</start>
      <end>17</end>
      <status>unmodified</status>
      <modifiedWord/>
      <trackRevisions>false</trackRevisions>
    </reviewItem>
    <reviewItem>
      <errorID>20f37f70-8995-4ce8-bd12-9591b1b1e4ed</errorID>
      <errorWord>)</errorWord>
      <group>L1_Format</group>
      <groupName>格式问题</groupName>
      <ability>L2_HalfPunc_CN</ability>
      <abilityName>全半角问题</abilityName>
      <candidateList>
        <item>）</item>
      </candidateList>
      <explain>文本全半角错误。</explain>
      <paraID>78809120</paraID>
      <start>31</start>
      <end>32</end>
      <status>unmodified</status>
      <modifiedWord/>
      <trackRevisions>false</trackRevisions>
    </reviewItem>
    <reviewItem>
      <errorID>84afaaf6-2586-47bc-b653-534a8ca4e5d0</errorID>
      <errorWord>-</errorWord>
      <group>L1_Format</group>
      <groupName>格式问题</groupName>
      <ability>L2_HalfPunc_CN</ability>
      <abilityName>全半角问题</abilityName>
      <candidateList>
        <item>－</item>
      </candidateList>
      <explain>文本全半角错误。</explain>
      <paraID>33C58E8C</paraID>
      <start>13</start>
      <end>14</end>
      <status>unmodified</status>
      <modifiedWord/>
      <trackRevisions>false</trackRevisions>
    </reviewItem>
    <reviewItem>
      <errorID>0aafcf46-400a-4a6d-9ca0-657050f65663</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380D2877</paraID>
      <start>42</start>
      <end>46</end>
      <status>unmodified</status>
      <modifiedWord/>
      <trackRevisions>false</trackRevisions>
    </reviewItem>
    <reviewItem>
      <errorID>0d5ee8ae-4dc2-4879-b28d-1312fce11882</errorID>
      <errorWord>泄露</errorWord>
      <group>L1_Word</group>
      <groupName>字词问题</groupName>
      <ability>L2_Typo</ability>
      <abilityName>字词错误</abilityName>
      <candidateList>
        <item>泄漏</item>
      </candidateList>
      <explain/>
      <paraID>62C6E517</paraID>
      <start>34</start>
      <end>36</end>
      <status>unmodified</status>
      <modifiedWord/>
      <trackRevisions>false</trackRevisions>
    </reviewItem>
    <reviewItem>
      <errorID>0796cf79-a58e-417a-b276-3cfa58cfca2e</errorID>
      <errorWord>此生</errorWord>
      <group>L1_Word</group>
      <groupName>字词问题</groupName>
      <ability>L2_Typo</ability>
      <abilityName>字词错误</abilityName>
      <candidateList>
        <item>次生</item>
      </candidateList>
      <explain/>
      <paraID>62C6E517</paraID>
      <start>83</start>
      <end>85</end>
      <status>unmodified</status>
      <modifiedWord/>
      <trackRevisions>false</trackRevisions>
    </reviewItem>
    <reviewItem>
      <errorID>3b076566-422f-49db-b5df-6d12e6cc67e5</errorID>
      <errorWord>(</errorWord>
      <group>L1_Format</group>
      <groupName>格式问题</groupName>
      <ability>L2_HalfPunc_CN</ability>
      <abilityName>全半角问题</abilityName>
      <candidateList>
        <item>（</item>
      </candidateList>
      <explain>文本全半角错误。</explain>
      <paraID> 2BA728F</paraID>
      <start>17</start>
      <end>18</end>
      <status>unmodified</status>
      <modifiedWord/>
      <trackRevisions>false</trackRevisions>
    </reviewItem>
    <reviewItem>
      <errorID>28860b4d-baf1-48a5-8694-843be611f888</errorID>
      <errorWord>)</errorWord>
      <group>L1_Format</group>
      <groupName>格式问题</groupName>
      <ability>L2_HalfPunc_CN</ability>
      <abilityName>全半角问题</abilityName>
      <candidateList>
        <item>）</item>
      </candidateList>
      <explain>文本全半角错误。</explain>
      <paraID> 2BA728F</paraID>
      <start>30</start>
      <end>31</end>
      <status>unmodified</status>
      <modifiedWord/>
      <trackRevisions>false</trackRevisions>
    </reviewItem>
    <reviewItem>
      <errorID>121c90ce-ff35-404c-a429-735868900ee2</errorID>
      <errorWord>(</errorWord>
      <group>L1_Format</group>
      <groupName>格式问题</groupName>
      <ability>L2_HalfPunc_CN</ability>
      <abilityName>全半角问题</abilityName>
      <candidateList>
        <item>（</item>
      </candidateList>
      <explain>文本全半角错误。</explain>
      <paraID> 2BA728F</paraID>
      <start>35</start>
      <end>36</end>
      <status>unmodified</status>
      <modifiedWord/>
      <trackRevisions>false</trackRevisions>
    </reviewItem>
    <reviewItem>
      <errorID>d29fd334-e33d-4ed0-94ed-8a0e72132205</errorID>
      <errorWord>)</errorWord>
      <group>L1_Format</group>
      <groupName>格式问题</groupName>
      <ability>L2_HalfPunc_CN</ability>
      <abilityName>全半角问题</abilityName>
      <candidateList>
        <item>）</item>
      </candidateList>
      <explain>文本全半角错误。</explain>
      <paraID> 2BA728F</paraID>
      <start>40</start>
      <end>41</end>
      <status>unmodified</status>
      <modifiedWord/>
      <trackRevisions>false</trackRevisions>
    </reviewItem>
    <reviewItem>
      <errorID>bef01646-d767-4b9b-9fa1-5083867f9a0d</errorID>
      <errorWord>设</errorWord>
      <group>L1_Word</group>
      <groupName>字词问题</groupName>
      <ability>L2_Typo</ability>
      <abilityName>字词错误</abilityName>
      <candidateList>
        <item>设立</item>
      </candidateList>
      <explain/>
      <paraID>44B70341</paraID>
      <start>21</start>
      <end>22</end>
      <status>unmodified</status>
      <modifiedWord/>
      <trackRevisions>false</trackRevisions>
    </reviewItem>
    <reviewItem>
      <errorID>c20f1d8a-d86d-4925-974e-8bf94c70d4c8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4911B548</paraID>
      <start>0</start>
      <end>2</end>
      <status>unmodified</status>
      <modifiedWord/>
      <trackRevisions>false</trackRevisions>
    </reviewItem>
    <reviewItem>
      <errorID>449ce84e-e8f3-435c-a4aa-199f18e5650a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3685C4E8</paraID>
      <start>0</start>
      <end>2</end>
      <status>unmodified</status>
      <modifiedWord/>
      <trackRevisions>false</trackRevisions>
    </reviewItem>
    <reviewItem>
      <errorID>ca0872c4-7027-48e5-8550-d33f3221589b</errorID>
      <errorWord>期</errorWord>
      <group>L1_Word</group>
      <groupName>字词问题</groupName>
      <ability>L2_Typo</ability>
      <abilityName>字词错误</abilityName>
      <candidateList>
        <item>期间</item>
      </candidateList>
      <explain/>
      <paraID>3685C4E8</paraID>
      <start>24</start>
      <end>25</end>
      <status>unmodified</status>
      <modifiedWord/>
      <trackRevisions>false</trackRevisions>
    </reviewItem>
    <reviewItem>
      <errorID>6400c0c3-0735-4633-85f0-db45b1991e79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1F7C1AA9</paraID>
      <start>0</start>
      <end>2</end>
      <status>unmodified</status>
      <modifiedWord/>
      <trackRevisions>false</trackRevisions>
    </reviewItem>
    <reviewItem>
      <errorID>5ba9b2ea-fe3b-4506-8587-b16bc46b0008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51A0979A</paraID>
      <start>0</start>
      <end>2</end>
      <status>unmodified</status>
      <modifiedWord/>
      <trackRevisions>false</trackRevisions>
    </reviewItem>
    <reviewItem>
      <errorID>5fe70296-5edf-4632-9544-c0b1725242a4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47372DB6</paraID>
      <start>0</start>
      <end>2</end>
      <status>unmodified</status>
      <modifiedWord/>
      <trackRevisions>false</trackRevisions>
    </reviewItem>
    <reviewItem>
      <errorID>c4e24856-0b51-4477-830d-274c5b58b3fd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738DFE95</paraID>
      <start>0</start>
      <end>2</end>
      <status>unmodified</status>
      <modifiedWord/>
      <trackRevisions>false</trackRevisions>
    </reviewItem>
    <reviewItem>
      <errorID>7f4d308e-d43d-41b0-9e73-29c23e8c8711</errorID>
      <errorWord>[1996]463号</errorWord>
      <group>L1_Knowledge</group>
      <groupName>知识性问题</groupName>
      <ability>L2_Knowledge</ability>
      <abilityName>其他知识</abilityName>
      <candidateList>
        <item>〔1996〕463号</item>
      </candidateList>
      <explain>发文字号格式错误。</explain>
      <paraID>569F5083</paraID>
      <start>36</start>
      <end>46</end>
      <status>unmodified</status>
      <modifiedWord/>
      <trackRevisions>false</trackRevisions>
    </reviewItem>
    <reviewItem>
      <errorID>e30f4cc8-2f8a-439b-93d3-e650f8095d13</errorID>
      <errorWord>树立</errorWord>
      <group>L1_Word</group>
      <groupName>字词问题</groupName>
      <ability>L2_Typo</ability>
      <abilityName>字词错误</abilityName>
      <candidateList>
        <item>竖立</item>
      </candidateList>
      <explain/>
      <paraID>569F5083</paraID>
      <start>56</start>
      <end>58</end>
      <status>unmodified</status>
      <modifiedWord/>
      <trackRevisions>false</trackRevisions>
    </reviewItem>
    <reviewItem>
      <errorID>bcdb523e-362e-4c0f-bdc0-cf2ba2ca9ffd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3F5E2E1A</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2644621-8d95-4789-8945-93ad3b78cdae}">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56</Pages>
  <Words>8987</Words>
  <Characters>9957</Characters>
  <Paragraphs>5214</Paragraphs>
  <TotalTime>13</TotalTime>
  <ScaleCrop>false</ScaleCrop>
  <LinksUpToDate>false</LinksUpToDate>
  <CharactersWithSpaces>10143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①分錢╰_╯³</cp:lastModifiedBy>
  <cp:lastPrinted>2026-08-24T01:04:00Z</cp:lastPrinted>
  <dcterms:modified xsi:type="dcterms:W3CDTF">2026-09-09T07:26:47Z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662F6B53002447AA9FC1A7E5CB8BE302_13</vt:lpwstr>
  </property>
  <property fmtid="{D5CDD505-2E9C-101B-9397-08002B2CF9AE}" pid="4" name="KSOTemplateDocerSaveRecord">
    <vt:lpwstr>eyJoZGlkIjoiY2FkMzEwZWM5OGViYmJhY2VjNjI4ODI3ZmEwNGY5ZmYiLCJ1c2VySWQiOiIzNzM1NTY0NzYifQ==</vt:lpwstr>
  </property>
</Properties>
</file>