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6EDB">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27A0AE86">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仿宋_GB2312" w:hAnsi="仿宋_GB2312" w:eastAsia="仿宋_GB2312" w:cs="仿宋_GB2312"/>
          <w:sz w:val="32"/>
          <w:szCs w:val="32"/>
          <w:lang w:val="en-US" w:eastAsia="zh-CN"/>
        </w:rPr>
        <w:t xml:space="preserve">                          长子环函</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〕2</w:t>
      </w:r>
      <w:bookmarkStart w:id="0" w:name="_GoBack"/>
      <w:bookmarkEnd w:id="0"/>
      <w:r>
        <w:rPr>
          <w:rFonts w:hint="eastAsia" w:ascii="仿宋_GB2312" w:hAnsi="仿宋_GB2312" w:eastAsia="仿宋_GB2312" w:cs="仿宋_GB2312"/>
          <w:sz w:val="32"/>
          <w:szCs w:val="32"/>
          <w:lang w:val="en-US" w:eastAsia="zh-CN"/>
        </w:rPr>
        <w:t>号</w:t>
      </w:r>
    </w:p>
    <w:p w14:paraId="1E435B40">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5A596746">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长治市生态环境局长子分局</w:t>
      </w:r>
    </w:p>
    <w:p w14:paraId="1C8DB2F8">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长子县南李建筑材料厂新型环保煤矸石烧结砖扩建项目</w:t>
      </w:r>
      <w:r>
        <w:rPr>
          <w:rFonts w:hint="eastAsia" w:ascii="方正小标宋_GBK" w:hAnsi="方正小标宋_GBK" w:eastAsia="方正小标宋_GBK" w:cs="方正小标宋_GBK"/>
          <w:w w:val="96"/>
          <w:sz w:val="44"/>
          <w:szCs w:val="44"/>
        </w:rPr>
        <w:t>环境影响报告表的</w:t>
      </w:r>
      <w:r>
        <w:rPr>
          <w:rFonts w:hint="eastAsia" w:ascii="方正小标宋_GBK" w:hAnsi="方正小标宋_GBK" w:eastAsia="方正小标宋_GBK" w:cs="方正小标宋_GBK"/>
          <w:sz w:val="44"/>
          <w:szCs w:val="44"/>
        </w:rPr>
        <w:t>批复</w:t>
      </w:r>
    </w:p>
    <w:p w14:paraId="065B398B">
      <w:pPr>
        <w:autoSpaceDE w:val="0"/>
        <w:autoSpaceDN w:val="0"/>
        <w:snapToGrid w:val="0"/>
        <w:spacing w:line="360" w:lineRule="auto"/>
        <w:rPr>
          <w:rFonts w:hint="eastAsia" w:ascii="仿宋_GB2312" w:hAnsi="仿宋_GB2312" w:eastAsia="仿宋_GB2312" w:cs="仿宋_GB2312"/>
          <w:sz w:val="32"/>
          <w:szCs w:val="32"/>
          <w:lang w:val="en-US" w:eastAsia="zh-CN"/>
        </w:rPr>
      </w:pPr>
    </w:p>
    <w:p w14:paraId="241DE8B8">
      <w:pPr>
        <w:autoSpaceDE w:val="0"/>
        <w:autoSpaceDN w:val="0"/>
        <w:snapToGrid w:val="0"/>
        <w:spacing w:line="360" w:lineRule="auto"/>
        <w:rPr>
          <w:rFonts w:hint="eastAsia" w:ascii="仿宋_GB2312" w:hAnsi="仿宋_GB2312" w:eastAsia="仿宋_GB2312" w:cs="仿宋_GB2312"/>
          <w:sz w:val="32"/>
          <w:szCs w:val="32"/>
          <w:lang w:val="en-US" w:eastAsia="zh-CN"/>
        </w:rPr>
      </w:pPr>
    </w:p>
    <w:p w14:paraId="3127F69A">
      <w:pPr>
        <w:autoSpaceDE w:val="0"/>
        <w:autoSpaceDN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长子县南李建筑材料厂：</w:t>
      </w:r>
    </w:p>
    <w:p w14:paraId="69ADB110">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你单位报送的《长子县南李建筑材料厂新型环保煤矸石烧结砖扩建项目环境影响报告表》（以下简称《报告表》）及报批申请已收悉。经我局审批复如下：</w:t>
      </w:r>
    </w:p>
    <w:p w14:paraId="53197FE3">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一、该项目位于山西省长治市长子县大堡头镇南李村北侧0.36km处，项目代码：2511-140428-89-05-221272。占地面积约21403.62m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,工程建设内容包括：将一条长180m</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宽3.3m</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高3m的隧道窑改建为</w:t>
      </w:r>
      <w:r>
        <w:rPr>
          <w:rFonts w:hint="eastAsia" w:ascii="仿宋_GB2312" w:hAnsi="仿宋_GB2312" w:eastAsia="仿宋_GB2312" w:cs="仿宋_GB2312"/>
          <w:sz w:val="32"/>
          <w:szCs w:val="32"/>
          <w:lang w:val="en-US" w:eastAsia="zh-CN"/>
        </w:rPr>
        <w:t>长180m</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宽6.7m</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高3m的隧道窑，</w:t>
      </w:r>
      <w:r>
        <w:rPr>
          <w:rFonts w:hint="eastAsia" w:ascii="仿宋_GB2312" w:hAnsi="仿宋_GB2312" w:eastAsia="仿宋_GB2312" w:cs="仿宋_GB2312"/>
          <w:sz w:val="32"/>
          <w:szCs w:val="32"/>
          <w:lang w:val="en-US" w:eastAsia="zh-CN"/>
        </w:rPr>
        <w:t>经技术改造后年产规模达1.2亿块煤矸石砖。项目总投1500万元，环保投资128万元，占项目总投资的8.53%。</w:t>
      </w:r>
    </w:p>
    <w:p w14:paraId="1B1D656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32BD7F9">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三、项目建设及运行中应全面落实《报告表》提出的各项环境保护措施，降低对周边环境的影响，并做好以下几方面工作：</w:t>
      </w:r>
    </w:p>
    <w:p w14:paraId="1843AB84">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加强施工期环境管理</w:t>
      </w:r>
    </w:p>
    <w:p w14:paraId="693EACD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施工扬尘管控。采取湿式作业，对产生扬尘的场地进行洒水；对运输车辆采取限速、加盖篷布、保证物料不遗撒外漏；设置洗车平台，对出厂车辆进行冲洗，防止泥土粘带；对工地内裸露地面，应覆盖防尘布或防尘网。</w:t>
      </w:r>
    </w:p>
    <w:p w14:paraId="48C20002">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2、施工期间产生的废水经沉淀后用于场地洒水抑尘；生活污水经收集沉淀处理后用于施工场地洒水抑尘。</w:t>
      </w:r>
    </w:p>
    <w:p w14:paraId="3302210E">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3、合理安排施工时间，尽量避免夜间施工，选用低噪声设备，确保施工场地噪声达标排放。</w:t>
      </w:r>
    </w:p>
    <w:p w14:paraId="51EC5EF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4、施工期间产生的危险废物定期交由有危废处理资质的单位进行处置，建筑垃圾、生活垃圾应做到垃圾分类处置，收集后及时清运至环卫部门指定地点处置，不得随地丢弃。</w:t>
      </w:r>
    </w:p>
    <w:p w14:paraId="1310EDB4">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（二）加强运营期环境管理</w:t>
      </w:r>
    </w:p>
    <w:p w14:paraId="2F0F105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进料采用全封闭运输，给料机、破碎机等设备设置顶吸式集尘罩，隧道窑焙烧段燃烧产生的烟气先经分机引入一套SNCR脱硝处置后进入干燥段余热利用（热烟气和空气换热，干燥窑使用热空气）经过SNCR脱硝+石灰石、石灰-石膏法脱硫+湿式静电除尘处理后通过1根H28m</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2.6m高排气筒排放。</w:t>
      </w:r>
    </w:p>
    <w:p w14:paraId="727A998B">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水环境保护措施。厂区内车辆冲洗废水经沉淀处理后用于洗车工序不外排；生活废水经沉淀池收集后全部用于原料库内抑尘洒水，不外排；脱硫废水经沉淀后全部循环使用不外排；雨水收集池经沉淀处理后用于洒水抑尘，不外排。</w:t>
      </w:r>
    </w:p>
    <w:p w14:paraId="5D5CB4EB">
      <w:pPr>
        <w:autoSpaceDE w:val="0"/>
        <w:autoSpaceDN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3、落实噪声污染防治措施。采取基础减振、隔音封闭和厂区绿化等措施，确保厂界噪声满足《工业企业厂界环境噪声排放标准》（GB12348-2008）中2类标准要求。</w:t>
      </w:r>
    </w:p>
    <w:p w14:paraId="5B8E83DC">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4、做好固体废物的分类处置和综合利用。在厂区内设置危废暂存库，定期交由有资质的单位处置；生活垃圾交由环卫部门统一清运处理。</w:t>
      </w:r>
    </w:p>
    <w:p w14:paraId="66408F8B">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四、按要求做好突发环境事件应急预案的编制和备案工作，根据应急状态启动应急响应程序，确保其合理有效控制和降低环境风险。</w:t>
      </w:r>
    </w:p>
    <w:p w14:paraId="24153D82">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14:paraId="66D1DEB9">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项目《报告表》经批准后，建设项目的性质、规模、地点或采用的生产工艺、生态保护和污染防治对策措施发生重大变化的，或自批准之日起满5年后决定项目开工建设的，你公司须重新向我局报批《报告表》。</w:t>
      </w:r>
    </w:p>
    <w:p w14:paraId="42F8B52A">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七、该项目取得污染物排放交易总量后方可投入运行，长子分局负责本项目施工期和运营期的日常监督管理工作。</w:t>
      </w:r>
    </w:p>
    <w:p w14:paraId="17CBBB26">
      <w:pPr>
        <w:pStyle w:val="2"/>
        <w:rPr>
          <w:rFonts w:hint="eastAsia" w:ascii="仿宋_GB2312" w:hAnsi="仿宋_GB2312" w:eastAsia="仿宋_GB2312" w:cs="仿宋_GB2312"/>
          <w:sz w:val="32"/>
          <w:szCs w:val="32"/>
          <w:lang w:val="en-US" w:eastAsia="zh-CN"/>
        </w:rPr>
      </w:pPr>
    </w:p>
    <w:p w14:paraId="6B616620">
      <w:pPr>
        <w:pStyle w:val="2"/>
        <w:rPr>
          <w:rFonts w:hint="eastAsia" w:ascii="仿宋_GB2312" w:hAnsi="仿宋_GB2312" w:eastAsia="仿宋_GB2312" w:cs="仿宋_GB2312"/>
          <w:sz w:val="32"/>
          <w:szCs w:val="32"/>
          <w:lang w:val="en-US" w:eastAsia="zh-CN"/>
        </w:rPr>
      </w:pPr>
    </w:p>
    <w:p w14:paraId="7769AB01">
      <w:pPr>
        <w:keepNext w:val="0"/>
        <w:keepLines w:val="0"/>
        <w:pageBreakBefore w:val="0"/>
        <w:widowControl w:val="0"/>
        <w:kinsoku/>
        <w:wordWrap/>
        <w:overflowPunct/>
        <w:topLinePunct w:val="0"/>
        <w:autoSpaceDE/>
        <w:autoSpaceDN/>
        <w:bidi w:val="0"/>
        <w:adjustRightInd/>
        <w:snapToGrid w:val="0"/>
        <w:spacing w:line="62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70AB0D16">
      <w:pPr>
        <w:keepNext w:val="0"/>
        <w:keepLines w:val="0"/>
        <w:pageBreakBefore w:val="0"/>
        <w:widowControl w:val="0"/>
        <w:kinsoku/>
        <w:wordWrap/>
        <w:overflowPunct/>
        <w:topLinePunct w:val="0"/>
        <w:autoSpaceDE/>
        <w:autoSpaceDN/>
        <w:bidi w:val="0"/>
        <w:adjustRightInd/>
        <w:snapToGrid w:val="0"/>
        <w:spacing w:line="62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2026年1月16 日</w:t>
      </w:r>
    </w:p>
    <w:p w14:paraId="079CC0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F5E72"/>
    <w:rsid w:val="10FF2D2D"/>
    <w:rsid w:val="2CBC252D"/>
    <w:rsid w:val="2CCF5E72"/>
    <w:rsid w:val="451C7BB5"/>
    <w:rsid w:val="54093CEA"/>
    <w:rsid w:val="63265417"/>
    <w:rsid w:val="71866233"/>
    <w:rsid w:val="75A83DB2"/>
    <w:rsid w:val="7D4B3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1395</Words>
  <Characters>1491</Characters>
  <Lines>0</Lines>
  <Paragraphs>0</Paragraphs>
  <TotalTime>0</TotalTime>
  <ScaleCrop>false</ScaleCrop>
  <LinksUpToDate>false</LinksUpToDate>
  <CharactersWithSpaces>1493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2025-12-24T01:16:00Z</dcterms:created>
  <dc:creator>Me、嬌＇</dc:creator>
  <cp:lastModifiedBy>Me、嬌＇</cp:lastModifiedBy>
  <dcterms:modified xsi:type="dcterms:W3CDTF">2026-01-16T01:44:26Z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7CACE365ED0A41CE9094898F358714C9_11</vt:lpwstr>
  </property>
  <property fmtid="{D5CDD505-2E9C-101B-9397-08002B2CF9AE}" pid="4" name="KSOTemplateDocerSaveRecord">
    <vt:lpwstr>eyJoZGlkIjoiYTA3Y2Q1NjY4MmViZWZlMjA5OGZiOGVjM2I1MjZkY2EiLCJ1c2VySWQiOiI0MTY0NzcwNzcifQ==</vt:lpwstr>
  </property>
</Properties>
</file>