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61E24">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bookmarkStart w:id="0" w:name="_GoBack"/>
      <w:bookmarkEnd w:id="0"/>
    </w:p>
    <w:p w14:paraId="602F1D1D">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p>
    <w:p w14:paraId="3C89B81E">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p>
    <w:p w14:paraId="7FF200E1">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长治市生态环境局长子分局</w:t>
      </w:r>
    </w:p>
    <w:p w14:paraId="274396E5">
      <w:pPr>
        <w:keepNext w:val="0"/>
        <w:keepLines w:val="0"/>
        <w:pageBreakBefore w:val="0"/>
        <w:kinsoku/>
        <w:wordWrap/>
        <w:overflowPunct/>
        <w:topLinePunct w:val="0"/>
        <w:bidi w:val="0"/>
        <w:adjustRightInd/>
        <w:spacing w:beforeAutospacing="0" w:line="600" w:lineRule="exact"/>
        <w:ind w:left="0" w:leftChars="0" w:right="0" w:righ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长子县亚鑫建材煤矸石新型烧结砖</w:t>
      </w:r>
    </w:p>
    <w:p w14:paraId="6BF5F556">
      <w:pPr>
        <w:keepNext w:val="0"/>
        <w:keepLines w:val="0"/>
        <w:pageBreakBefore w:val="0"/>
        <w:kinsoku/>
        <w:wordWrap/>
        <w:overflowPunct/>
        <w:topLinePunct w:val="0"/>
        <w:bidi w:val="0"/>
        <w:adjustRightInd/>
        <w:spacing w:beforeAutospacing="0" w:line="6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扩建</w:t>
      </w:r>
      <w:r>
        <w:rPr>
          <w:rFonts w:hint="eastAsia" w:ascii="方正小标宋_GBK" w:hAnsi="方正小标宋_GBK" w:eastAsia="方正小标宋_GBK" w:cs="方正小标宋_GBK"/>
          <w:w w:val="96"/>
          <w:sz w:val="44"/>
          <w:szCs w:val="44"/>
          <w:lang w:eastAsia="zh-CN"/>
        </w:rPr>
        <w:t>项目</w:t>
      </w:r>
      <w:r>
        <w:rPr>
          <w:rFonts w:hint="eastAsia" w:ascii="方正小标宋_GBK" w:hAnsi="方正小标宋_GBK" w:eastAsia="方正小标宋_GBK" w:cs="方正小标宋_GBK"/>
          <w:w w:val="96"/>
          <w:sz w:val="44"/>
          <w:szCs w:val="44"/>
        </w:rPr>
        <w:t>环境影响报告表的</w:t>
      </w:r>
      <w:r>
        <w:rPr>
          <w:rFonts w:hint="eastAsia" w:ascii="方正小标宋_GBK" w:hAnsi="方正小标宋_GBK" w:eastAsia="方正小标宋_GBK" w:cs="方正小标宋_GBK"/>
          <w:w w:val="96"/>
          <w:sz w:val="44"/>
          <w:szCs w:val="44"/>
          <w:lang w:val="en-US" w:eastAsia="zh-CN"/>
        </w:rPr>
        <w:t>拟</w:t>
      </w:r>
      <w:r>
        <w:rPr>
          <w:rFonts w:hint="eastAsia" w:ascii="方正小标宋_GBK" w:hAnsi="方正小标宋_GBK" w:eastAsia="方正小标宋_GBK" w:cs="方正小标宋_GBK"/>
          <w:sz w:val="44"/>
          <w:szCs w:val="44"/>
        </w:rPr>
        <w:t>批复</w:t>
      </w:r>
    </w:p>
    <w:p w14:paraId="13C72386">
      <w:pPr>
        <w:autoSpaceDE w:val="0"/>
        <w:autoSpaceDN w:val="0"/>
        <w:snapToGrid w:val="0"/>
        <w:spacing w:line="360" w:lineRule="auto"/>
        <w:rPr>
          <w:rFonts w:hint="eastAsia" w:ascii="仿宋_GB2312" w:hAnsi="仿宋_GB2312" w:eastAsia="仿宋_GB2312" w:cs="仿宋_GB2312"/>
          <w:sz w:val="32"/>
          <w:szCs w:val="32"/>
          <w:lang w:val="en-US" w:eastAsia="zh-CN"/>
        </w:rPr>
      </w:pPr>
    </w:p>
    <w:p w14:paraId="389243F5">
      <w:pPr>
        <w:autoSpaceDE w:val="0"/>
        <w:autoSpaceDN w:val="0"/>
        <w:snapToGrid w:val="0"/>
        <w:spacing w:line="360" w:lineRule="auto"/>
        <w:rPr>
          <w:rFonts w:hint="default" w:ascii="仿宋_GB2312" w:hAnsi="仿宋_GB2312" w:eastAsia="仿宋_GB2312" w:cs="仿宋_GB2312"/>
          <w:sz w:val="32"/>
          <w:szCs w:val="32"/>
          <w:lang w:val="en-US" w:eastAsia="zh-CN"/>
        </w:rPr>
      </w:pPr>
    </w:p>
    <w:p w14:paraId="71FC40BC">
      <w:pPr>
        <w:autoSpaceDE w:val="0"/>
        <w:autoSpaceDN w:val="0"/>
        <w:snapToGrid w:val="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长子县亚鑫建材有限公司：</w:t>
      </w:r>
    </w:p>
    <w:p w14:paraId="5FE9E72F">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你单位报送的《长子县亚鑫建材煤矸石新型烧结砖扩建项目（扩建后年产1.2亿块）环境影响报告表》（以下简称《报告表》）及报批申请已收悉。经我局审议并批复如下：</w:t>
      </w:r>
    </w:p>
    <w:p w14:paraId="641745F0">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一、该项目位于山西省长治市长子县南漳镇西南呈村，项目代码：2509-140428-89-05-617763。占地面积约32450.47m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,工程建设内容包括：主要对制砖生产线进行技术改造，通过现有原料库、陈化库，在现有1条147m</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3.6m隧道窑基础上新建1条147m</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3.6m隧道窑后年产规模达1.2亿块煤矸石砖。项目总投资3800万元，环保投资50万元，占项目总投资的1.32%。</w:t>
      </w:r>
    </w:p>
    <w:p w14:paraId="157B2B52">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该项目建设符合国家有关产业政策，在全面落实《报告表》提出的各项生态保护及污染防治措施后，环境不利影响能够得到减缓和控制。我局原则同意你公司按照《报告表》中所列的建设项目性质、规模、地点和环境保护对策措施进行建设。</w:t>
      </w:r>
    </w:p>
    <w:p w14:paraId="123BB652">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三、项目建设及运行中应全面落实《报告表》提出的各项环境保护措施，降低对周边环境的影响，并做好以下几方面工作：</w:t>
      </w:r>
    </w:p>
    <w:p w14:paraId="51D636B0">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 加强施工期环境管理</w:t>
      </w:r>
    </w:p>
    <w:p w14:paraId="7CA7F0B6">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施工扬尘管控。采取湿式作业，对产生扬尘的场地进行洒水；对运输车辆采取限速、加盖篷布、保证物料不遗撒外漏等措施；设置洗车平台，对出厂车辆进行冲洗，防止泥土粘带；对工地内裸露地面，应覆盖防尘布或防尘网。</w:t>
      </w:r>
    </w:p>
    <w:p w14:paraId="519FE921">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2、施工期间产生的废水经沉淀后用于场地洒水抑尘；生活污水经收集沉淀处理后用于施工场地洒水抑尘。</w:t>
      </w:r>
    </w:p>
    <w:p w14:paraId="439FBE36">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3、合理安排施工时间，尽量避免夜间施工，选用低噪声设备，确保施工场地噪声达标排放。</w:t>
      </w:r>
    </w:p>
    <w:p w14:paraId="490D74AB">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4、施工期间产生的危险废物定期交由有危废处置资质的单位进行处置，建筑垃圾、生活垃圾应做到垃圾分类处置，收集后及时清运至环卫部门指定地点处置，不得随地丢弃。</w:t>
      </w:r>
    </w:p>
    <w:p w14:paraId="2EA8B63E">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（二）加强运营期环境管理</w:t>
      </w:r>
    </w:p>
    <w:p w14:paraId="66E8CBA1">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进料采用全封闭运输，给料机、破碎机等设备设置顶吸式集尘罩，废气引入一台布袋除尘器后经1根15m高排气筒排放。隧道窑烟气经过除尘脱硫脱硝除氟后排放，焙烧产生的废气经收集后全部经过SNCR脱硝+石灰石、石灰-石膏法脱硫+湿式静电除尘处理后通过一根15m高（1个）排气筒排放。</w:t>
      </w:r>
    </w:p>
    <w:p w14:paraId="2F46F346">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落实水环境保护措施。厂区内车辆冲洗废水经沉淀处理后用于洗车工序不外排；生活废水经沉淀池收集后全部用于原料库内抑尘洒水，不外排；脱硫废水经沉淀后全部循环使用不外排；雨水收集池经沉淀处理后用于洒水抑尘，不外排。</w:t>
      </w:r>
    </w:p>
    <w:p w14:paraId="04815661">
      <w:pPr>
        <w:autoSpaceDE w:val="0"/>
        <w:autoSpaceDN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3、落实噪声污染防治措施。采取基础减振、隔音封闭和厂区绿化等措施，确保厂界噪声满足《工业企业厂界环境噪声排放标准》（GB12348-2008）中2类标准要求。</w:t>
      </w:r>
    </w:p>
    <w:p w14:paraId="083B0352">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4、做好固体废物的分类处置和综合利用。在厂区内设置危废暂存库，定期交由有资质的单位处置；生活垃圾交由环卫部门统一清运处理。</w:t>
      </w:r>
    </w:p>
    <w:p w14:paraId="399E5642">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四、按要求做好突发环境事件应急预案的编制和备案工作，根据应急状态启动应急响应程序，确保其合理有效控制和降低环境风险。</w:t>
      </w:r>
    </w:p>
    <w:p w14:paraId="27FA9EF4">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14:paraId="43D18983">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项目《报告表》经批准后，建设项目的性质、规模、地点或采用的生产工艺、生态保护和污染防治对策措施发生重大变化的，或自批准之日起满5年后决定项目开工建设的，你公司须重新向我局报批《报告表》。</w:t>
      </w:r>
    </w:p>
    <w:p w14:paraId="739A2D41">
      <w:pPr>
        <w:keepNext w:val="0"/>
        <w:keepLines w:val="0"/>
        <w:pageBreakBefore w:val="0"/>
        <w:widowControl w:val="0"/>
        <w:shd w:val="clear"/>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七、长子生态环境保护综合行政执法队负责本项目施工期和运营期的日常监督管理工作。</w:t>
      </w:r>
    </w:p>
    <w:p w14:paraId="2C838134">
      <w:pPr>
        <w:pStyle w:val="2"/>
        <w:rPr>
          <w:rFonts w:hint="eastAsia" w:ascii="仿宋_GB2312" w:hAnsi="仿宋_GB2312" w:eastAsia="仿宋_GB2312" w:cs="仿宋_GB2312"/>
          <w:sz w:val="32"/>
          <w:szCs w:val="32"/>
          <w:lang w:val="en-US" w:eastAsia="zh-CN"/>
        </w:rPr>
      </w:pPr>
    </w:p>
    <w:p w14:paraId="7B49DEB7">
      <w:pPr>
        <w:pStyle w:val="2"/>
        <w:rPr>
          <w:rFonts w:hint="eastAsia" w:ascii="仿宋_GB2312" w:hAnsi="仿宋_GB2312" w:eastAsia="仿宋_GB2312" w:cs="仿宋_GB2312"/>
          <w:sz w:val="32"/>
          <w:szCs w:val="32"/>
          <w:lang w:val="en-US" w:eastAsia="zh-CN"/>
        </w:rPr>
      </w:pPr>
    </w:p>
    <w:p w14:paraId="6C5AD86E">
      <w:pPr>
        <w:keepNext w:val="0"/>
        <w:keepLines w:val="0"/>
        <w:pageBreakBefore w:val="0"/>
        <w:widowControl w:val="0"/>
        <w:kinsoku/>
        <w:wordWrap/>
        <w:overflowPunct/>
        <w:topLinePunct w:val="0"/>
        <w:autoSpaceDE/>
        <w:autoSpaceDN/>
        <w:bidi w:val="0"/>
        <w:adjustRightInd/>
        <w:snapToGrid w:val="0"/>
        <w:spacing w:line="62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14:paraId="70BFC0C5">
      <w:pPr>
        <w:keepNext w:val="0"/>
        <w:keepLines w:val="0"/>
        <w:pageBreakBefore w:val="0"/>
        <w:widowControl w:val="0"/>
        <w:kinsoku/>
        <w:wordWrap/>
        <w:overflowPunct/>
        <w:topLinePunct w:val="0"/>
        <w:autoSpaceDE/>
        <w:autoSpaceDN/>
        <w:bidi w:val="0"/>
        <w:adjustRightInd/>
        <w:snapToGrid w:val="0"/>
        <w:spacing w:line="62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2025年12月22日</w:t>
      </w:r>
    </w:p>
    <w:p w14:paraId="5A2666DD">
      <w:pPr>
        <w:keepNext w:val="0"/>
        <w:keepLines w:val="0"/>
        <w:pageBreakBefore w:val="0"/>
        <w:widowControl w:val="0"/>
        <w:kinsoku/>
        <w:wordWrap/>
        <w:overflowPunct/>
        <w:topLinePunct w:val="0"/>
        <w:autoSpaceDE/>
        <w:autoSpaceDN/>
        <w:bidi w:val="0"/>
        <w:adjustRightInd/>
        <w:snapToGrid w:val="0"/>
        <w:spacing w:line="600" w:lineRule="exact"/>
        <w:jc w:val="both"/>
        <w:textAlignment w:val="auto"/>
        <w:rPr>
          <w:rFonts w:hint="eastAsia" w:ascii="仿宋_GB2312" w:hAnsi="仿宋_GB2312" w:eastAsia="仿宋_GB2312" w:cs="仿宋_GB2312"/>
          <w:sz w:val="32"/>
          <w:szCs w:val="32"/>
          <w:lang w:val="en-US" w:eastAsia="zh-CN"/>
        </w:rPr>
      </w:pPr>
    </w:p>
    <w:p w14:paraId="32C5C820">
      <w:pPr>
        <w:pStyle w:val="2"/>
      </w:pPr>
    </w:p>
    <w:p w14:paraId="7A76BA09"/>
    <w:sectPr>
      <w:pgSz w:w="11906" w:h="16838"/>
      <w:pgMar w:top="1440" w:right="1701"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7E4BA5"/>
    <w:rsid w:val="19485D04"/>
    <w:rsid w:val="2D3E7D46"/>
    <w:rsid w:val="747E4BA5"/>
    <w:rsid w:val="75614BB3"/>
    <w:rsid w:val="7BDC2ACF"/>
    <w:rsid w:val="7C246A1E"/>
    <w:rsid w:val="BBF7B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440" w:lineRule="exact"/>
      <w:ind w:firstLine="544"/>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1405</Words>
  <Characters>1489</Characters>
  <Lines>0</Lines>
  <Paragraphs>0</Paragraphs>
  <TotalTime>4</TotalTime>
  <ScaleCrop>false</ScaleCrop>
  <LinksUpToDate>false</LinksUpToDate>
  <CharactersWithSpaces>1490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2025-12-15T09:32:00Z</dcterms:created>
  <dc:creator>Me、嬌＇</dc:creator>
  <cp:lastModifiedBy>未满人</cp:lastModifiedBy>
  <dcterms:modified xsi:type="dcterms:W3CDTF">2025-12-23T00:32:01Z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15339CBA7714403F82E92B972D5116F9_13</vt:lpwstr>
  </property>
  <property fmtid="{D5CDD505-2E9C-101B-9397-08002B2CF9AE}" pid="4" name="KSOTemplateDocerSaveRecord">
    <vt:lpwstr>eyJoZGlkIjoiZGU1YzJmZDkwZWMwYjY1NTU0NmE0NzQ2YjY3ODNhNGEiLCJ1c2VySWQiOiIyMzk0ODk5NjYifQ==</vt:lpwstr>
  </property>
</Properties>
</file>