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244A" w14:textId="48240234" w:rsidR="003A39D5" w:rsidRPr="003A39D5" w:rsidRDefault="003A39D5">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sz w:val="30"/>
          <w:szCs w:val="30"/>
        </w:rPr>
        <w:t xml:space="preserve">               </w:t>
      </w:r>
      <w:r w:rsidRPr="003A39D5">
        <w:rPr>
          <w:rFonts w:ascii="仿宋" w:eastAsia="仿宋" w:hAnsi="仿宋" w:cs="仿宋" w:hint="eastAsia"/>
          <w:sz w:val="30"/>
          <w:szCs w:val="30"/>
        </w:rPr>
        <w:t>长子环函2</w:t>
      </w:r>
      <w:r w:rsidRPr="003A39D5">
        <w:rPr>
          <w:rFonts w:ascii="仿宋" w:eastAsia="仿宋" w:hAnsi="仿宋" w:cs="仿宋"/>
          <w:sz w:val="30"/>
          <w:szCs w:val="30"/>
        </w:rPr>
        <w:t>022</w:t>
      </w:r>
      <w:r w:rsidRPr="003A39D5">
        <w:rPr>
          <w:rFonts w:ascii="仿宋" w:eastAsia="仿宋" w:hAnsi="仿宋" w:cs="仿宋" w:hint="eastAsia"/>
          <w:sz w:val="30"/>
          <w:szCs w:val="30"/>
        </w:rPr>
        <w:t>【</w:t>
      </w:r>
      <w:r w:rsidR="00DE657B">
        <w:rPr>
          <w:rFonts w:ascii="仿宋" w:eastAsia="仿宋" w:hAnsi="仿宋" w:cs="仿宋" w:hint="eastAsia"/>
          <w:sz w:val="30"/>
          <w:szCs w:val="30"/>
        </w:rPr>
        <w:t>4</w:t>
      </w:r>
      <w:r w:rsidR="00DE657B">
        <w:rPr>
          <w:rFonts w:ascii="仿宋" w:eastAsia="仿宋" w:hAnsi="仿宋" w:cs="仿宋"/>
          <w:sz w:val="30"/>
          <w:szCs w:val="30"/>
        </w:rPr>
        <w:t>7</w:t>
      </w:r>
      <w:r w:rsidRPr="003A39D5">
        <w:rPr>
          <w:rFonts w:ascii="仿宋" w:eastAsia="仿宋" w:hAnsi="仿宋" w:cs="仿宋" w:hint="eastAsia"/>
          <w:sz w:val="30"/>
          <w:szCs w:val="30"/>
        </w:rPr>
        <w:t>】</w:t>
      </w:r>
      <w:r>
        <w:rPr>
          <w:rFonts w:ascii="仿宋" w:eastAsia="仿宋" w:hAnsi="仿宋" w:cs="仿宋" w:hint="eastAsia"/>
          <w:sz w:val="30"/>
          <w:szCs w:val="30"/>
        </w:rPr>
        <w:t>号</w:t>
      </w:r>
    </w:p>
    <w:p w14:paraId="2E731069" w14:textId="77777777" w:rsidR="003A39D5" w:rsidRDefault="003A39D5">
      <w:pPr>
        <w:jc w:val="center"/>
        <w:rPr>
          <w:rFonts w:ascii="Times New Roman" w:eastAsia="宋体" w:hAnsi="Times New Roman" w:cs="Times New Roman"/>
          <w:b/>
          <w:bCs/>
          <w:sz w:val="36"/>
          <w:szCs w:val="36"/>
        </w:rPr>
      </w:pPr>
    </w:p>
    <w:p w14:paraId="0F0236B9" w14:textId="4715E806" w:rsidR="00E73F6F" w:rsidRDefault="00000000">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长治市环境保护局长子分局</w:t>
      </w:r>
    </w:p>
    <w:p w14:paraId="62FA0ECD" w14:textId="77777777" w:rsidR="00E73F6F" w:rsidRDefault="00000000">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关于山西晋城无烟煤矿业集团有限责任公司赵庄</w:t>
      </w:r>
    </w:p>
    <w:p w14:paraId="3ABBE343" w14:textId="5569C927" w:rsidR="00E73F6F" w:rsidRDefault="00000000" w:rsidP="003A39D5">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煤业</w:t>
      </w:r>
      <w:r>
        <w:rPr>
          <w:rFonts w:ascii="Times New Roman" w:eastAsia="宋体" w:hAnsi="Times New Roman" w:cs="Times New Roman" w:hint="eastAsia"/>
          <w:b/>
          <w:bCs/>
          <w:sz w:val="36"/>
          <w:szCs w:val="36"/>
        </w:rPr>
        <w:t>15</w:t>
      </w:r>
      <w:r>
        <w:rPr>
          <w:rFonts w:ascii="Times New Roman" w:eastAsia="宋体" w:hAnsi="Times New Roman" w:cs="Times New Roman" w:hint="eastAsia"/>
          <w:b/>
          <w:bCs/>
          <w:sz w:val="36"/>
          <w:szCs w:val="36"/>
        </w:rPr>
        <w:t>号煤配采工程环境影响报告书的批复</w:t>
      </w:r>
    </w:p>
    <w:p w14:paraId="550A642B" w14:textId="77777777" w:rsidR="00E73F6F" w:rsidRDefault="00E73F6F">
      <w:pPr>
        <w:jc w:val="center"/>
        <w:rPr>
          <w:rFonts w:ascii="Times New Roman" w:eastAsia="宋体" w:hAnsi="Times New Roman" w:cs="Times New Roman"/>
          <w:sz w:val="36"/>
          <w:szCs w:val="36"/>
        </w:rPr>
      </w:pPr>
    </w:p>
    <w:p w14:paraId="0AB1B5DE" w14:textId="77777777" w:rsidR="00E73F6F" w:rsidRDefault="00000000">
      <w:pPr>
        <w:rPr>
          <w:rFonts w:ascii="仿宋" w:eastAsia="仿宋" w:hAnsi="仿宋" w:cs="仿宋"/>
          <w:sz w:val="30"/>
          <w:szCs w:val="30"/>
        </w:rPr>
      </w:pPr>
      <w:r>
        <w:rPr>
          <w:rFonts w:ascii="仿宋" w:eastAsia="仿宋" w:hAnsi="仿宋" w:cs="仿宋" w:hint="eastAsia"/>
          <w:sz w:val="30"/>
          <w:szCs w:val="30"/>
        </w:rPr>
        <w:t>山西晋城无烟煤矿业集团有限责任公司赵庄煤业：</w:t>
      </w:r>
    </w:p>
    <w:p w14:paraId="5E9ABCDE"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你单位报送的《山西晋城无烟煤矿业集团有限责任公司赵庄煤业15号煤配采工程环境影响报告书的报批申请》及相关材料已收悉。根据建设项目环境保护管理的有关规定,现对《山西晋城无烟煤矿业集团有限责任公司赵庄煤业15号煤配采工程环境影响报告书》(以下简称《报告书》)批复如下:</w:t>
      </w:r>
    </w:p>
    <w:p w14:paraId="714C8BD4" w14:textId="77777777" w:rsidR="00E73F6F" w:rsidRDefault="00000000">
      <w:pPr>
        <w:numPr>
          <w:ilvl w:val="0"/>
          <w:numId w:val="1"/>
        </w:numPr>
        <w:ind w:firstLineChars="200" w:firstLine="656"/>
        <w:rPr>
          <w:rFonts w:ascii="仿宋" w:eastAsia="仿宋" w:hAnsi="仿宋" w:cs="仿宋"/>
          <w:sz w:val="30"/>
          <w:szCs w:val="30"/>
        </w:rPr>
      </w:pPr>
      <w:r>
        <w:rPr>
          <w:rFonts w:ascii="仿宋" w:eastAsia="仿宋" w:hAnsi="仿宋" w:cs="仿宋" w:hint="eastAsia"/>
          <w:bCs/>
          <w:spacing w:val="4"/>
          <w:sz w:val="32"/>
          <w:szCs w:val="32"/>
        </w:rPr>
        <w:t>山西晋城无烟煤矿业集团有限责任公司赵庄煤业矿井工业场区位于长治市长子县南16km处。井田南北长约16.65km，东西宽约14.8km，面积144.13km</w:t>
      </w:r>
      <w:r>
        <w:rPr>
          <w:rFonts w:ascii="仿宋" w:eastAsia="仿宋" w:hAnsi="仿宋" w:cs="仿宋" w:hint="eastAsia"/>
          <w:bCs/>
          <w:spacing w:val="4"/>
          <w:sz w:val="32"/>
          <w:szCs w:val="32"/>
          <w:vertAlign w:val="superscript"/>
        </w:rPr>
        <w:t>2</w:t>
      </w:r>
      <w:r>
        <w:rPr>
          <w:rFonts w:ascii="仿宋" w:eastAsia="仿宋" w:hAnsi="仿宋" w:cs="仿宋" w:hint="eastAsia"/>
          <w:bCs/>
          <w:spacing w:val="4"/>
          <w:sz w:val="32"/>
          <w:szCs w:val="32"/>
        </w:rPr>
        <w:t>。矿井地质资源量为18.4亿吨，设计可采储量为4.4亿吨。</w:t>
      </w:r>
    </w:p>
    <w:p w14:paraId="209D3589"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赵庄煤业采用分区开拓方式，主工业场地布置有三个井筒，分别为主斜井、副斜井和副立井，担负全矿井煤炭提升、辅助提升和进风任务。3号煤层共划分为五个盘区，西翼大巷以北为一、二盘区，西翼大巷以南为三、四、五盘区。目前生产盘区为一、三、五盘区，其中：一盘区剩余服务年限为6.3年，三盘区剩余服务年限为4.3年，五盘区剩余服务年限不足1年。准备盘区为</w:t>
      </w:r>
      <w:r>
        <w:rPr>
          <w:rFonts w:ascii="仿宋" w:eastAsia="仿宋" w:hAnsi="仿宋" w:cs="仿宋" w:hint="eastAsia"/>
          <w:sz w:val="30"/>
          <w:szCs w:val="30"/>
        </w:rPr>
        <w:lastRenderedPageBreak/>
        <w:t>二盘区。</w:t>
      </w:r>
    </w:p>
    <w:p w14:paraId="4A1B8370"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3号煤层五盘区回采结束后，接替开采其下部五龙沟断层以南的15号煤层，已经具备开采条件。为提高赵庄煤业煤炭资源回收率，提高矿井经济效益，延长矿井服务年限，需尽快实施15号煤配采项目。2020年5月27日取得了集团公司生产处“晋煤集生字〔2020〕268 号”对赵庄矿15#煤配采工程建议书批复，2020年6月23日，山西晋城无烟煤矿业集团有限责任公司以晋煤集计划函〔2020〕155号对晋煤集团关于赵庄煤业15号煤配采工程进行了核准批复，确定15号煤配采工程，本次15号煤配采工程不改变现有3号煤采掘工艺、采掘顺序，南苏风井场地及矸石场、张店风井场地、草芳风井场地、两个土地复垦场地、洗煤厂工程不发生任何变化，仅接替开采其下部五龙沟断层以南的15号煤层。项目总投资46541万元，环保投资350万元。</w:t>
      </w:r>
    </w:p>
    <w:p w14:paraId="1C8E4225"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在严格落实《报告书》提出的各项生态环境保护措施后,该项目所产生的不利生态环境影响可以得到缓解或控制。我局原则上同意《报告书》的环境影响评价总体结论和拟采取的生态环境保护措施。</w:t>
      </w:r>
    </w:p>
    <w:p w14:paraId="188C52D8"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二、项目建设、运行过程中要严格按照《报告书》的要求逐一落实各项环境保护对策措施，并重点做好以下工作：</w:t>
      </w:r>
    </w:p>
    <w:p w14:paraId="5A52F44B"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（一）</w:t>
      </w:r>
      <w:r>
        <w:rPr>
          <w:rFonts w:ascii="仿宋" w:eastAsia="仿宋" w:hAnsi="仿宋" w:cs="仿宋" w:hint="eastAsia"/>
          <w:sz w:val="32"/>
          <w:szCs w:val="32"/>
        </w:rPr>
        <w:t>你单位所生产的原煤全部送往坑口配套洗煤厂进行洗选，洗选后方可出售</w:t>
      </w:r>
      <w:r>
        <w:rPr>
          <w:rFonts w:ascii="仿宋" w:eastAsia="仿宋" w:hAnsi="仿宋" w:cs="仿宋" w:hint="eastAsia"/>
          <w:color w:val="0000FF"/>
          <w:sz w:val="30"/>
          <w:szCs w:val="30"/>
        </w:rPr>
        <w:t>。</w:t>
      </w:r>
    </w:p>
    <w:p w14:paraId="3B72DA8E"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（二）加强大气污染防治措施。原煤输送全部建设全封闭皮</w:t>
      </w:r>
      <w:r>
        <w:rPr>
          <w:rFonts w:ascii="仿宋" w:eastAsia="仿宋" w:hAnsi="仿宋" w:cs="仿宋" w:hint="eastAsia"/>
          <w:sz w:val="30"/>
          <w:szCs w:val="30"/>
        </w:rPr>
        <w:lastRenderedPageBreak/>
        <w:t>带走廊，内部设喷雾洒水设施；原煤采用全封闭煤库+筒仓，全封闭煤库内安装手动控制的喷淋装置，在全封闭轻钢结构储煤棚上设置机械通风装置和瓦斯监测监控探头，避免瓦斯积聚发生爆炸事故。设洗车平台，道路洒水，矸石采用全封闭厢式汽车运输、长途外运采用铁路运输、严禁超载。</w:t>
      </w:r>
    </w:p>
    <w:p w14:paraId="40375659"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（三）认真落实矿区废水治理和综合利用措施。矿井水依托现有矿井水处理站，主井场地矿井水处理站处理规模20000m</w:t>
      </w:r>
      <w:r>
        <w:rPr>
          <w:rFonts w:ascii="仿宋" w:eastAsia="仿宋" w:hAnsi="仿宋" w:cs="仿宋" w:hint="eastAsia"/>
          <w:sz w:val="30"/>
          <w:szCs w:val="30"/>
          <w:vertAlign w:val="superscript"/>
        </w:rPr>
        <w:t>3</w:t>
      </w:r>
      <w:r>
        <w:rPr>
          <w:rFonts w:ascii="仿宋" w:eastAsia="仿宋" w:hAnsi="仿宋" w:cs="仿宋" w:hint="eastAsia"/>
          <w:sz w:val="30"/>
          <w:szCs w:val="30"/>
        </w:rPr>
        <w:t>/d，采用脉冲旋流沉淀处理工艺+瓷砂过滤+活性氧化铝过滤系统+反渗透系统，处理后的矿井涌水复用于井下洒水、黄泥灌浆用水</w:t>
      </w:r>
      <w:r>
        <w:rPr>
          <w:rFonts w:ascii="仿宋" w:eastAsia="仿宋" w:hAnsi="仿宋" w:hint="eastAsia"/>
          <w:sz w:val="32"/>
          <w:szCs w:val="32"/>
        </w:rPr>
        <w:t>、选煤厂生产补充水等环节，优先回收利用，剩余达标排放，后期电厂建设完成后要求矿井水综合利用率达到100%</w:t>
      </w:r>
      <w:r>
        <w:rPr>
          <w:rFonts w:ascii="仿宋" w:eastAsia="仿宋" w:hAnsi="仿宋" w:cs="仿宋" w:hint="eastAsia"/>
          <w:sz w:val="32"/>
          <w:szCs w:val="32"/>
        </w:rPr>
        <w:t>；全矿办公生活人员不增加，生活污水依托现有生活污水处理站处理可行，该处理站选用格珊→调节池→A</w:t>
      </w:r>
      <w:r>
        <w:rPr>
          <w:rFonts w:ascii="仿宋" w:eastAsia="仿宋" w:hAnsi="仿宋" w:cs="仿宋" w:hint="eastAsia"/>
          <w:sz w:val="32"/>
          <w:szCs w:val="32"/>
          <w:vertAlign w:val="superscript"/>
        </w:rPr>
        <w:t>2</w:t>
      </w:r>
      <w:r>
        <w:rPr>
          <w:rFonts w:ascii="仿宋" w:eastAsia="仿宋" w:hAnsi="仿宋" w:cs="仿宋" w:hint="eastAsia"/>
          <w:sz w:val="32"/>
          <w:szCs w:val="32"/>
        </w:rPr>
        <w:t>O→除磷→消毒工艺，处理后的生活废水</w:t>
      </w:r>
      <w:r>
        <w:rPr>
          <w:rFonts w:ascii="仿宋" w:eastAsia="仿宋" w:hAnsi="仿宋" w:hint="eastAsia"/>
          <w:sz w:val="32"/>
          <w:szCs w:val="32"/>
        </w:rPr>
        <w:t>全部回用于选煤厂生产补充水、地面除尘道路洒水和</w:t>
      </w:r>
      <w:r>
        <w:rPr>
          <w:rFonts w:ascii="仿宋" w:eastAsia="仿宋" w:hAnsi="仿宋" w:cs="仿宋" w:hint="eastAsia"/>
          <w:sz w:val="30"/>
          <w:szCs w:val="30"/>
        </w:rPr>
        <w:t>绿化用水等环节，不外排；洗车废水经沉淀处理后重复利用不外排;不新增工业场地，因此原则上同意依托现有工业场地雨水收集池，收集后的雨水经沉淀后，可以用于道路洒水降尘和工业场地绿化洒水，不外排。</w:t>
      </w:r>
    </w:p>
    <w:p w14:paraId="25F8693A"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四）严格落实固废污染防治措施。利用现有矸石场，矸石随原煤出井后经大块煤皮带手拣矸石后全部送往公司填沟造地场地进行综合利用，同时填沟造地场地需增设石灰乳灌浆站，严格按照规程操作，采掘矸石待规划设计井下填充系统建设完成后</w:t>
      </w:r>
      <w:r>
        <w:rPr>
          <w:rFonts w:ascii="仿宋" w:eastAsia="仿宋" w:hAnsi="仿宋" w:cs="仿宋" w:hint="eastAsia"/>
          <w:sz w:val="30"/>
          <w:szCs w:val="30"/>
        </w:rPr>
        <w:lastRenderedPageBreak/>
        <w:t>全部井下填充</w:t>
      </w:r>
      <w:r>
        <w:rPr>
          <w:rFonts w:ascii="仿宋" w:eastAsia="仿宋" w:hAnsi="仿宋" w:cs="仿宋" w:hint="eastAsia"/>
          <w:sz w:val="32"/>
          <w:szCs w:val="32"/>
        </w:rPr>
        <w:t>；</w:t>
      </w:r>
      <w:r>
        <w:rPr>
          <w:rFonts w:ascii="仿宋" w:eastAsia="仿宋" w:hAnsi="仿宋" w:cs="仿宋" w:hint="eastAsia"/>
          <w:sz w:val="30"/>
          <w:szCs w:val="30"/>
        </w:rPr>
        <w:t>生产过程中产生的废机油、废油桶等危险废物，要按照《危险废物贮存污染控制标准》（GB18597-2001）及 2013修改单的有关要求做好危废在厂内的临时贮存工作，加强危废暂存、分区堆放和转运管理，危险废物定期交于有资质单位处理；生活水处理站污泥产由当地环卫部门一同处置。</w:t>
      </w:r>
    </w:p>
    <w:p w14:paraId="45E9A831"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五）加强噪声污染防治措施。在通风机房主机房、空压机房、电机房、控制室表面贴吸声材料，对主机、电机用吸声材料做隔声罩密闭。合理规划运矸路线，运输车辆限制车速，经过村庄时减速行驶，夜间禁止鸣笛。</w:t>
      </w:r>
    </w:p>
    <w:p w14:paraId="2FE63CA3" w14:textId="77777777" w:rsidR="00E73F6F" w:rsidRDefault="00000000">
      <w:pPr>
        <w:ind w:firstLine="600"/>
        <w:rPr>
          <w:rFonts w:ascii="仿宋" w:eastAsia="仿宋" w:hAnsi="仿宋" w:cs="仿宋"/>
          <w:color w:val="0000FF"/>
          <w:sz w:val="30"/>
          <w:szCs w:val="30"/>
        </w:rPr>
      </w:pPr>
      <w:r>
        <w:rPr>
          <w:rFonts w:ascii="仿宋" w:eastAsia="仿宋" w:hAnsi="仿宋" w:cs="仿宋" w:hint="eastAsia"/>
          <w:sz w:val="30"/>
          <w:szCs w:val="30"/>
        </w:rPr>
        <w:t>（六）加强矿区生态环境综合治理。落实《报告书》中生态影响综合整治措施，将塌陷区治理与矿井建设同步设计、同步实施，在制定采矿计划的同时，同步做好塌陷区治理规划设计;对井田内的林地，以封谷、禁牧为主，人工造林为辅，充分利用植被的自我修复能力，基本恢复自然植被景观；对于农业开发区，宜农则农，宜草则草，适宜耕作的地区，通过土地平整恢复土地功能，合理调整土地利用结构。对于永久占地区及连接道路周围实施绿化。配采范围内主要分布的3处文物保护单位、3个村庄井田边界按照Ⅰ级保护要求，留设20m保护煤柱；禁止采煤对煤矿建筑和村庄造成影响。</w:t>
      </w:r>
    </w:p>
    <w:p w14:paraId="2EB11514"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（七）重视采矿过程中的地下水资源保护，建立地下水长期动态监测计划，加强对井田内及周围水井的水位和水质监测，及时解决因受本矿开采影响而导致的村民饮水困难问题。在煤层开</w:t>
      </w:r>
      <w:r>
        <w:rPr>
          <w:rFonts w:ascii="仿宋" w:eastAsia="仿宋" w:hAnsi="仿宋" w:cs="仿宋" w:hint="eastAsia"/>
          <w:sz w:val="30"/>
          <w:szCs w:val="30"/>
        </w:rPr>
        <w:lastRenderedPageBreak/>
        <w:t>采时,要坚持“预测预报、有掘必探、先探后掘、先治后采”的原则,切实防范由于煤炭开采引起地下水流失从而带来的地表生态环境风险。</w:t>
      </w:r>
    </w:p>
    <w:p w14:paraId="5A826E44"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（八）项目运营过程中，应建立畅通的公众参与平台。及时解决公众担忧的环境问题，满足公众合理的环境诉求。定期发布企业环境信息，并主动接受社会监督。</w:t>
      </w:r>
    </w:p>
    <w:p w14:paraId="58CD03EA"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（九）按照相关法律法规,依法办理其他相关手续。</w:t>
      </w:r>
    </w:p>
    <w:p w14:paraId="4C1C0059" w14:textId="77777777" w:rsidR="00E73F6F" w:rsidRDefault="00000000">
      <w:pPr>
        <w:ind w:firstLineChars="200" w:firstLine="600"/>
        <w:rPr>
          <w:rFonts w:ascii="仿宋" w:eastAsia="仿宋" w:hAnsi="仿宋" w:cs="仿宋"/>
          <w:sz w:val="30"/>
          <w:szCs w:val="30"/>
        </w:rPr>
      </w:pPr>
      <w:r>
        <w:rPr>
          <w:rFonts w:ascii="仿宋" w:eastAsia="仿宋" w:hAnsi="仿宋" w:cs="仿宋"/>
          <w:sz w:val="30"/>
          <w:szCs w:val="30"/>
        </w:rPr>
        <w:t>三、严格执行环保设施与主体工程同时设计、同时施工、同时投产使用的“三同时”制度,项目建成后,你单位按规定的时间和程序开展竣工环境保护验收,验收合格后,方可正式投入使用。</w:t>
      </w:r>
    </w:p>
    <w:p w14:paraId="76C4E410" w14:textId="7AD8EEBC" w:rsidR="00735F3D" w:rsidRPr="00AB2E6B" w:rsidRDefault="00000000" w:rsidP="00735F3D">
      <w:pPr>
        <w:spacing w:line="600" w:lineRule="exact"/>
        <w:ind w:firstLineChars="200" w:firstLine="600"/>
        <w:rPr>
          <w:rFonts w:ascii="仿宋" w:eastAsia="仿宋" w:hAnsi="仿宋"/>
          <w:sz w:val="32"/>
          <w:szCs w:val="32"/>
        </w:rPr>
      </w:pPr>
      <w:r>
        <w:rPr>
          <w:rFonts w:ascii="仿宋" w:eastAsia="仿宋" w:hAnsi="仿宋" w:cs="仿宋"/>
          <w:sz w:val="30"/>
          <w:szCs w:val="30"/>
        </w:rPr>
        <w:t>四、</w:t>
      </w:r>
      <w:r w:rsidR="00735F3D" w:rsidRPr="00AB2E6B">
        <w:rPr>
          <w:rFonts w:ascii="仿宋" w:eastAsia="仿宋" w:hAnsi="仿宋" w:hint="eastAsia"/>
          <w:sz w:val="32"/>
          <w:szCs w:val="32"/>
        </w:rPr>
        <w:t>本项目《报告表》经批准后，建设项目的性质、规模、地点或采用的生产工艺、生态保护和污染防治对策措施发生重大变化的，或自批准之日起满5年方决定项目开工建设的，你公司须重新向我局报批《报告表》。</w:t>
      </w:r>
    </w:p>
    <w:p w14:paraId="7A6E3F1B" w14:textId="443593C8" w:rsidR="00735F3D" w:rsidRPr="00AB2E6B" w:rsidRDefault="00735F3D" w:rsidP="00735F3D">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Pr="00AB2E6B">
        <w:rPr>
          <w:rFonts w:ascii="仿宋" w:eastAsia="仿宋" w:hAnsi="仿宋" w:hint="eastAsia"/>
          <w:sz w:val="32"/>
          <w:szCs w:val="32"/>
        </w:rPr>
        <w:t>、长治市生态环境局长子分局负责本项目施工期和运营期的日常监督管理工作。</w:t>
      </w:r>
    </w:p>
    <w:p w14:paraId="69463617" w14:textId="567331DA" w:rsidR="00E73F6F" w:rsidRDefault="00E73F6F">
      <w:pPr>
        <w:ind w:firstLineChars="200" w:firstLine="600"/>
        <w:rPr>
          <w:rFonts w:ascii="仿宋" w:eastAsia="仿宋" w:hAnsi="仿宋" w:cs="仿宋"/>
          <w:sz w:val="30"/>
          <w:szCs w:val="30"/>
        </w:rPr>
      </w:pPr>
    </w:p>
    <w:p w14:paraId="4595EF71" w14:textId="77777777" w:rsidR="00E73F6F" w:rsidRDefault="00E73F6F">
      <w:pPr>
        <w:ind w:firstLineChars="200" w:firstLine="600"/>
        <w:rPr>
          <w:rFonts w:ascii="仿宋" w:eastAsia="仿宋" w:hAnsi="仿宋" w:cs="仿宋"/>
          <w:sz w:val="30"/>
          <w:szCs w:val="30"/>
        </w:rPr>
      </w:pPr>
    </w:p>
    <w:p w14:paraId="240F88C9" w14:textId="77777777" w:rsidR="00E73F6F" w:rsidRDefault="00000000" w:rsidP="00735F3D">
      <w:pPr>
        <w:ind w:right="1200"/>
        <w:jc w:val="right"/>
        <w:rPr>
          <w:rFonts w:ascii="仿宋" w:eastAsia="仿宋" w:hAnsi="仿宋" w:cs="仿宋"/>
          <w:sz w:val="30"/>
          <w:szCs w:val="30"/>
        </w:rPr>
      </w:pPr>
      <w:r>
        <w:rPr>
          <w:rFonts w:ascii="仿宋" w:eastAsia="仿宋" w:hAnsi="仿宋" w:cs="仿宋" w:hint="eastAsia"/>
          <w:sz w:val="30"/>
          <w:szCs w:val="30"/>
        </w:rPr>
        <w:t>长治市环境保护局长子分局</w:t>
      </w:r>
    </w:p>
    <w:p w14:paraId="02FF4C7B" w14:textId="1FA03279" w:rsidR="00E73F6F" w:rsidRDefault="00735F3D" w:rsidP="00735F3D">
      <w:pPr>
        <w:ind w:right="1200"/>
        <w:jc w:val="center"/>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2022年</w:t>
      </w:r>
      <w:r>
        <w:rPr>
          <w:rFonts w:ascii="仿宋" w:eastAsia="仿宋" w:hAnsi="仿宋" w:cs="仿宋"/>
          <w:sz w:val="30"/>
          <w:szCs w:val="30"/>
        </w:rPr>
        <w:t>10</w:t>
      </w:r>
      <w:r>
        <w:rPr>
          <w:rFonts w:ascii="仿宋" w:eastAsia="仿宋" w:hAnsi="仿宋" w:cs="仿宋" w:hint="eastAsia"/>
          <w:sz w:val="30"/>
          <w:szCs w:val="30"/>
        </w:rPr>
        <w:t>月1</w:t>
      </w:r>
      <w:r>
        <w:rPr>
          <w:rFonts w:ascii="仿宋" w:eastAsia="仿宋" w:hAnsi="仿宋" w:cs="仿宋"/>
          <w:sz w:val="30"/>
          <w:szCs w:val="30"/>
        </w:rPr>
        <w:t>2</w:t>
      </w:r>
      <w:r>
        <w:rPr>
          <w:rFonts w:ascii="仿宋" w:eastAsia="仿宋" w:hAnsi="仿宋" w:cs="仿宋" w:hint="eastAsia"/>
          <w:sz w:val="30"/>
          <w:szCs w:val="30"/>
        </w:rPr>
        <w:t>日</w:t>
      </w:r>
    </w:p>
    <w:p w14:paraId="1725CCC6" w14:textId="77777777" w:rsidR="00E73F6F" w:rsidRDefault="00E73F6F">
      <w:pPr>
        <w:ind w:firstLineChars="200" w:firstLine="600"/>
        <w:rPr>
          <w:rFonts w:ascii="仿宋" w:eastAsia="仿宋" w:hAnsi="仿宋" w:cs="仿宋"/>
          <w:sz w:val="30"/>
          <w:szCs w:val="30"/>
        </w:rPr>
      </w:pPr>
    </w:p>
    <w:sectPr w:rsidR="00E73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E0C2" w14:textId="77777777" w:rsidR="00407201" w:rsidRDefault="00407201" w:rsidP="00C16B12">
      <w:r>
        <w:separator/>
      </w:r>
    </w:p>
  </w:endnote>
  <w:endnote w:type="continuationSeparator" w:id="0">
    <w:p w14:paraId="77FB5E5A" w14:textId="77777777" w:rsidR="00407201" w:rsidRDefault="00407201" w:rsidP="00C1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8BC6" w14:textId="77777777" w:rsidR="00407201" w:rsidRDefault="00407201" w:rsidP="00C16B12">
      <w:r>
        <w:separator/>
      </w:r>
    </w:p>
  </w:footnote>
  <w:footnote w:type="continuationSeparator" w:id="0">
    <w:p w14:paraId="00DFB372" w14:textId="77777777" w:rsidR="00407201" w:rsidRDefault="00407201" w:rsidP="00C16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2B903"/>
    <w:multiLevelType w:val="singleLevel"/>
    <w:tmpl w:val="FFF2B903"/>
    <w:lvl w:ilvl="0">
      <w:start w:val="1"/>
      <w:numFmt w:val="chineseCounting"/>
      <w:suff w:val="nothing"/>
      <w:lvlText w:val="%1、"/>
      <w:lvlJc w:val="left"/>
      <w:rPr>
        <w:rFonts w:hint="eastAsia"/>
      </w:rPr>
    </w:lvl>
  </w:abstractNum>
  <w:num w:numId="1" w16cid:durableId="15698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DI1NGQ4MDY4NjMxYWVlMzc3ODM2NDE0MmU1ODUxYzYifQ=="/>
  </w:docVars>
  <w:rsids>
    <w:rsidRoot w:val="7CF91822"/>
    <w:rsid w:val="7CF91822"/>
    <w:rsid w:val="CBFF5712"/>
    <w:rsid w:val="D75F78C0"/>
    <w:rsid w:val="DBB5AC92"/>
    <w:rsid w:val="EDDBC7D3"/>
    <w:rsid w:val="F37D8328"/>
    <w:rsid w:val="FDDFC21F"/>
    <w:rsid w:val="00071C48"/>
    <w:rsid w:val="001004CD"/>
    <w:rsid w:val="003A39D5"/>
    <w:rsid w:val="00407201"/>
    <w:rsid w:val="00735F3D"/>
    <w:rsid w:val="00951E18"/>
    <w:rsid w:val="00C16B12"/>
    <w:rsid w:val="00DE657B"/>
    <w:rsid w:val="00E73F6F"/>
    <w:rsid w:val="00EC7CAB"/>
    <w:rsid w:val="01753B66"/>
    <w:rsid w:val="02BC106D"/>
    <w:rsid w:val="0D19235B"/>
    <w:rsid w:val="0E00739B"/>
    <w:rsid w:val="10B12A18"/>
    <w:rsid w:val="10D57106"/>
    <w:rsid w:val="13681F47"/>
    <w:rsid w:val="1966330A"/>
    <w:rsid w:val="1E4F2F9C"/>
    <w:rsid w:val="2D9407D6"/>
    <w:rsid w:val="45884EF3"/>
    <w:rsid w:val="461C112E"/>
    <w:rsid w:val="4C06640E"/>
    <w:rsid w:val="4C8756F7"/>
    <w:rsid w:val="4DD30465"/>
    <w:rsid w:val="52A115B8"/>
    <w:rsid w:val="58697A46"/>
    <w:rsid w:val="5BBF9D57"/>
    <w:rsid w:val="5FEF8027"/>
    <w:rsid w:val="65BE8C90"/>
    <w:rsid w:val="6B647FFF"/>
    <w:rsid w:val="6E7E5466"/>
    <w:rsid w:val="757A4CB6"/>
    <w:rsid w:val="76493F6A"/>
    <w:rsid w:val="77FB3C67"/>
    <w:rsid w:val="7BC27685"/>
    <w:rsid w:val="7C586A0E"/>
    <w:rsid w:val="7CF91822"/>
    <w:rsid w:val="7DFD1C17"/>
    <w:rsid w:val="7E2F1F5A"/>
    <w:rsid w:val="7FB31B76"/>
    <w:rsid w:val="95EDC913"/>
    <w:rsid w:val="A7372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4DFC0"/>
  <w15:docId w15:val="{7A4F302B-C899-4DE9-98FC-BEEC2D8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黑体" w:eastAsia="黑体" w:hAnsi="Calibri" w:cs="黑体"/>
      <w:color w:val="000000"/>
      <w:sz w:val="24"/>
      <w:szCs w:val="24"/>
    </w:rPr>
  </w:style>
  <w:style w:type="paragraph" w:styleId="a3">
    <w:name w:val="Plain Text"/>
    <w:basedOn w:val="a"/>
    <w:next w:val="a"/>
    <w:qFormat/>
    <w:rPr>
      <w:rFonts w:ascii="宋体" w:hAnsi="Courier New"/>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customStyle="1" w:styleId="a6">
    <w:name w:val="【正文】"/>
    <w:basedOn w:val="a"/>
    <w:qFormat/>
    <w:pPr>
      <w:spacing w:line="440" w:lineRule="exact"/>
      <w:ind w:firstLine="544"/>
    </w:pPr>
    <w:rPr>
      <w:szCs w:val="20"/>
    </w:rPr>
  </w:style>
  <w:style w:type="paragraph" w:styleId="a7">
    <w:name w:val="header"/>
    <w:basedOn w:val="a"/>
    <w:link w:val="a8"/>
    <w:rsid w:val="00C16B1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C16B12"/>
    <w:rPr>
      <w:rFonts w:asciiTheme="minorHAnsi" w:eastAsiaTheme="minorEastAsia" w:hAnsiTheme="minorHAnsi" w:cstheme="minorBidi"/>
      <w:kern w:val="2"/>
      <w:sz w:val="18"/>
      <w:szCs w:val="18"/>
    </w:rPr>
  </w:style>
  <w:style w:type="paragraph" w:styleId="a9">
    <w:name w:val="footer"/>
    <w:basedOn w:val="a"/>
    <w:link w:val="aa"/>
    <w:rsid w:val="00C16B12"/>
    <w:pPr>
      <w:tabs>
        <w:tab w:val="center" w:pos="4153"/>
        <w:tab w:val="right" w:pos="8306"/>
      </w:tabs>
      <w:snapToGrid w:val="0"/>
      <w:jc w:val="left"/>
    </w:pPr>
    <w:rPr>
      <w:sz w:val="18"/>
      <w:szCs w:val="18"/>
    </w:rPr>
  </w:style>
  <w:style w:type="character" w:customStyle="1" w:styleId="aa">
    <w:name w:val="页脚 字符"/>
    <w:basedOn w:val="a0"/>
    <w:link w:val="a9"/>
    <w:rsid w:val="00C16B1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400</Words>
  <Characters>2280</Characters>
  <Application>Microsoft Office Word</Application>
  <DocSecurity>0</DocSecurity>
  <Lines>19</Lines>
  <Paragraphs>5</Paragraphs>
  <ScaleCrop>false</ScaleCrop>
  <Company>Microsoft</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豆豆多</dc:creator>
  <cp:lastModifiedBy>lenovo</cp:lastModifiedBy>
  <cp:revision>6</cp:revision>
  <cp:lastPrinted>2022-10-12T02:06:00Z</cp:lastPrinted>
  <dcterms:created xsi:type="dcterms:W3CDTF">2021-11-23T01:12:00Z</dcterms:created>
  <dcterms:modified xsi:type="dcterms:W3CDTF">2022-10-17T01:08:00Z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F77583B0F7DD42BB843662E0D92CAA7A</vt:lpwstr>
  </property>
</Properties>
</file>