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长子县202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年国民经济和社会发展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统 计 公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exact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长子县统计局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jc w:val="center"/>
        <w:textAlignment w:val="auto"/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（202</w:t>
      </w:r>
      <w:r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年</w:t>
      </w:r>
      <w:r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月1</w:t>
      </w:r>
      <w:r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2023年，面对纷繁复杂国内环境和艰巨繁重改革发展任务，县委县政府坚持以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习近平新时代中国特色社会主义思想为指导，深入学习习近平总书记对山西工作重要讲话重要指示精神，团结带领全县人民，顶住外部压力、克服内部困难、付出艰辛努力，着力推动高质量发展，新冠疫情防控平稳转段，营商环境逐步优化，项目建设和招商引资火热开展，全年经济运行稳中向好，社会大局和谐稳定，民生福祉不断增强，现代化太行山水名城长子示范区建设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初步核算，全年全县地区生产总值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3027484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%。其中，第一产业增加值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170640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%；第二产业增加值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2229104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万元,同比增长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%；第三产业增加值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627740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%。三次产业占地区生产总值比重由上年的5.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:7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调整为5.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73.6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图一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年地区生产总值及其增长速度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4679950" cy="2136140"/>
            <wp:effectExtent l="0" t="0" r="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年末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全县常住人口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289165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人，比去年末减少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3170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人。性别比（女=100）为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103.94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。城镇人口比重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38.10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%。全年全县出生人口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1760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人，人口出生率为6.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‰，死亡率为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11.76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‰，自然增长率为-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5.70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</w:t>
      </w:r>
      <w:r>
        <w:rPr>
          <w:rFonts w:hint="eastAsia" w:ascii="黑体" w:eastAsia="黑体" w:cs="黑体"/>
          <w:color w:val="auto"/>
          <w:sz w:val="32"/>
          <w:szCs w:val="32"/>
          <w:lang w:eastAsia="zh-CN"/>
        </w:rPr>
        <w:t>人口数及其构成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7040" w:firstLineChars="220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人、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</w:t>
      </w:r>
    </w:p>
    <w:tbl>
      <w:tblPr>
        <w:tblStyle w:val="7"/>
        <w:tblW w:w="875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3203"/>
        <w:gridCol w:w="236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19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指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标</w:t>
            </w:r>
          </w:p>
        </w:tc>
        <w:tc>
          <w:tcPr>
            <w:tcW w:w="320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绝对值</w:t>
            </w:r>
          </w:p>
        </w:tc>
        <w:tc>
          <w:tcPr>
            <w:tcW w:w="236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全县常住人口</w:t>
            </w:r>
          </w:p>
        </w:tc>
        <w:tc>
          <w:tcPr>
            <w:tcW w:w="3203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289165</w:t>
            </w:r>
          </w:p>
        </w:tc>
        <w:tc>
          <w:tcPr>
            <w:tcW w:w="2362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其中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: 城 镇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110158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38.10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乡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村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179007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61.90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319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其中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: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男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性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147377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50.97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3194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女</w:t>
            </w:r>
            <w:r>
              <w:rPr>
                <w:rFonts w:hint="eastAsia" w:ascii="宋体"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性</w:t>
            </w:r>
          </w:p>
        </w:tc>
        <w:tc>
          <w:tcPr>
            <w:tcW w:w="3203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141788</w:t>
            </w:r>
          </w:p>
        </w:tc>
        <w:tc>
          <w:tcPr>
            <w:tcW w:w="236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49.03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全年全县财政总收入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868967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下降15.23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%。一般公共预算收入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296622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万元,同比增长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0.49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%。税收收入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233412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下降10.78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%。其中，国内增值税、企业所得税、个人所得税、资源税和城市维护建设税共计完成税收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218637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下降11.06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%。公共财政预算支出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461733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19.35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%。其中，教育、卫生健康、社会保障和就业、住房保障、公共交通运输、节能环保、城乡社区事务等民生支出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258507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下降3.95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%，民生支出占全县公共财政预算支出的比重为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55.99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图二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年一般公共预算收入及其增长速度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541645" cy="2942590"/>
            <wp:effectExtent l="0" t="0" r="0" b="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全年全县城镇新增就业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4676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全县农作物播种面积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45.86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千公顷，粮食种植面积34.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千公顷，其中，玉米种植面积32.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千公顷，小麦种植面积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0.81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千公顷。全年经济作物播种面积10.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千公顷，其中，蔬菜种植面积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6.67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全年粮食产量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188989.95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吨。其中，夏粮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4526.44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吨，秋粮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184463.50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吨。全年蔬菜产量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350229.5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2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年主要农产品分品种产量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7360" w:firstLineChars="23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7"/>
        <w:gridCol w:w="42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430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产品名称</w:t>
            </w:r>
          </w:p>
        </w:tc>
        <w:tc>
          <w:tcPr>
            <w:tcW w:w="42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产 量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粮 食</w:t>
            </w:r>
          </w:p>
        </w:tc>
        <w:tc>
          <w:tcPr>
            <w:tcW w:w="4272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188989.95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其中：玉 米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176690.55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小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麦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4526.44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谷 子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1234.9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豆 类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1346.12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       薯 类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4945.22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蔬菜及</w:t>
            </w:r>
            <w:r>
              <w:rPr>
                <w:rFonts w:ascii="宋体"/>
                <w:color w:val="auto"/>
                <w:sz w:val="24"/>
              </w:rPr>
              <w:t>食用菌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350229.5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43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firstLine="240" w:firstLineChars="1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烤 烟</w:t>
            </w:r>
          </w:p>
        </w:tc>
        <w:tc>
          <w:tcPr>
            <w:tcW w:w="4272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619.6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据全面调查，全年生猪存栏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81405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132184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头；牛存栏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4013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2325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头；羊存栏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107001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只，出栏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50760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只；家禽存栏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412.08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万只，出栏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150.04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全年肉类总产量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13399.82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吨。其中，猪牛羊肉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11309.36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吨。全年禽蛋产量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31005.28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全年农用化肥施用量（折纯）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19186.9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吨，地膜使用量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424.86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吨，农用柴油使用量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3149.39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吨，农药使用量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213.45吨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经初步核算，全县农林牧渔总产值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255523.21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%。其中，农业产值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164036.96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10.87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%；林业产值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10372.9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下降14.69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%；牧业产值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67415.73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2.50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%；渔业产值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1271.62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2.87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%；农林牧渔服务业产值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12426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年末全县农业机械总动力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189620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千瓦，增长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%。机械耕地面积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43589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增长1.38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%；机械播种面积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35955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增长3.35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%；机械收获面积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22657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增长0.33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%。全县农机服务收入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7668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1.32%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年末全县规模以上工业企业50家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>全年全县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规模以上工业增加值增长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4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全年规模以上工业中，煤炭开采和洗选业增加值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下降5.08%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，农副食品加工业增加值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下降29.54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%，非金属矿物制品业增加值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增长6.41%,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化学原料及化学制品制造业增加值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22.92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 电力、热力生产和供应业增加值增长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9.63%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，燃气生产和供应业增加值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26.51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金属制品、机械和设备修理业增加值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增长36.06%,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通用设备制造业增加值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增长23.31%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，专用设备制造业增加值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下降23.57%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，金属制品业增加值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增长6.17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%，其他制造业增加值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下降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100%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3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年规模以上工业增加值增长速度</w:t>
      </w:r>
    </w:p>
    <w:tbl>
      <w:tblPr>
        <w:tblStyle w:val="7"/>
        <w:tblpPr w:leftFromText="180" w:rightFromText="180" w:vertAnchor="text" w:horzAnchor="page" w:tblpX="1637" w:tblpY="38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3"/>
        <w:gridCol w:w="2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02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pStyle w:val="9"/>
              <w:tabs>
                <w:tab w:val="left" w:pos="719"/>
              </w:tabs>
              <w:spacing w:before="120"/>
              <w:ind w:left="7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指</w:t>
            </w: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标</w:t>
            </w:r>
          </w:p>
        </w:tc>
        <w:tc>
          <w:tcPr>
            <w:tcW w:w="25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noWrap/>
            <w:vAlign w:val="top"/>
          </w:tcPr>
          <w:p>
            <w:pPr>
              <w:pStyle w:val="9"/>
              <w:spacing w:before="120"/>
              <w:ind w:left="66"/>
              <w:jc w:val="center"/>
              <w:rPr>
                <w:rFonts w:hint="eastAsia" w:ascii="宋体" w:eastAsia="宋体" w:cs="宋体"/>
                <w:color w:val="auto"/>
                <w:w w:val="1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spacing w:val="-13"/>
                <w:w w:val="100"/>
                <w:sz w:val="21"/>
                <w:szCs w:val="21"/>
              </w:rPr>
              <w:t>比上年增长</w:t>
            </w:r>
            <w:r>
              <w:rPr>
                <w:rFonts w:hint="eastAsia" w:ascii="宋体" w:eastAsia="宋体" w:cs="宋体"/>
                <w:color w:val="auto"/>
                <w:spacing w:val="-21"/>
                <w:w w:val="100"/>
                <w:sz w:val="21"/>
                <w:szCs w:val="21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3" w:hRule="atLeast"/>
        </w:trPr>
        <w:tc>
          <w:tcPr>
            <w:tcW w:w="6023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4" w:space="0"/>
            </w:tcBorders>
            <w:noWrap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2431"/>
              <w:jc w:val="left"/>
              <w:textAlignment w:val="auto"/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规模以上工业总计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8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在总计中</w:t>
            </w:r>
            <w:r>
              <w:rPr>
                <w:rFonts w:hint="eastAsia" w:ascii="宋体" w:eastAsia="宋体" w:cs="宋体"/>
                <w:color w:val="auto"/>
                <w:spacing w:val="-17"/>
                <w:sz w:val="21"/>
                <w:szCs w:val="21"/>
              </w:rPr>
              <w:t>：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轻</w:t>
            </w: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工业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60" w:firstLineChars="6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sz w:val="21"/>
                <w:szCs w:val="21"/>
              </w:rPr>
              <w:t>重工业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8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在总计中：国有及国有控股企业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8" w:firstLineChars="100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在总计中：煤炭开采和洗选业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农副食品加工业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非金属矿物制品业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化学原料及化学制品制造业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63"/>
              <w:jc w:val="left"/>
              <w:textAlignment w:val="auto"/>
              <w:rPr>
                <w:rFonts w:hint="eastAsia" w:asci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w w:val="104"/>
                <w:sz w:val="21"/>
                <w:szCs w:val="21"/>
              </w:rPr>
              <w:t>电力、热力生产和供应业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燃气生产和供应业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金属制品、机械和设备修理业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通用设备制造业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专用设备制造业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金属制品业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72"/>
              <w:jc w:val="left"/>
              <w:textAlignment w:val="auto"/>
              <w:rPr>
                <w:rFonts w:hint="eastAsia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其他制造业</w:t>
            </w:r>
          </w:p>
        </w:tc>
        <w:tc>
          <w:tcPr>
            <w:tcW w:w="2576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nil"/>
            </w:tcBorders>
            <w:noWrap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6.93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-29.54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6.93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-1.76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-5.08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-29.54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6.41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-22.92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9.63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26.51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36.06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23.31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-23.58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6.17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全年规模以上工业企业利润总额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65.9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下降36.3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%。分经济类型看，国有控股企业利润总额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52.1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下降34.5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%。分门类看，采矿业利润总额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64.0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亿元，同比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%；制造业利润总额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同比增长50%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；电力、热力、燃气及水生产和供应业利润总额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规上工业原煤产量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3277.59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下降3.44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%；洗煤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1606.52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增长11.44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%；配合饲料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8911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下降67.71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4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年规模以上工业主要产品产量及其增长速度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1983"/>
        <w:gridCol w:w="1685"/>
        <w:gridCol w:w="21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7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标</w:t>
            </w:r>
          </w:p>
        </w:tc>
        <w:tc>
          <w:tcPr>
            <w:tcW w:w="19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单 位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产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量</w:t>
            </w:r>
          </w:p>
        </w:tc>
        <w:tc>
          <w:tcPr>
            <w:tcW w:w="21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比上年增长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/>
                <w:color w:val="auto"/>
                <w:sz w:val="24"/>
              </w:rPr>
              <w:t>%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73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原  煤</w:t>
            </w:r>
          </w:p>
        </w:tc>
        <w:tc>
          <w:tcPr>
            <w:tcW w:w="19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万 吨</w:t>
            </w:r>
          </w:p>
        </w:tc>
        <w:tc>
          <w:tcPr>
            <w:tcW w:w="168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3277.59 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-3.44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洗  煤</w:t>
            </w: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万 吨</w:t>
            </w:r>
          </w:p>
        </w:tc>
        <w:tc>
          <w:tcPr>
            <w:tcW w:w="168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right="24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1606.52</w:t>
            </w:r>
          </w:p>
        </w:tc>
        <w:tc>
          <w:tcPr>
            <w:tcW w:w="2153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11.44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737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配合饲料</w:t>
            </w:r>
          </w:p>
        </w:tc>
        <w:tc>
          <w:tcPr>
            <w:tcW w:w="1983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吨</w:t>
            </w:r>
          </w:p>
        </w:tc>
        <w:tc>
          <w:tcPr>
            <w:tcW w:w="1685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ind w:right="24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8911</w:t>
            </w:r>
          </w:p>
        </w:tc>
        <w:tc>
          <w:tcPr>
            <w:tcW w:w="2153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-67.71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全年全县建筑业实现增加值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6549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同比下降10.2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%。具有建筑业资质等级的总承包和专业承包建筑业企业实现利润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257.9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同比增长27.7%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全年固定资产投资完成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711531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%。其中，国有及国有控股投资完成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339552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下降19.2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三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年固定资产投资及其增长速度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212080" cy="2622550"/>
            <wp:effectExtent l="0" t="0" r="7620" b="635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分产业看，第一产业投资完成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64399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万元，占计划总投资的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%；第二产业投资完成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368476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万元，占计划总投资的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51.8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%；第三产业投资完成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278656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万元，占计划总投资的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39.2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全年全县在建固定资产投资项目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个。其中，5亿元以上项目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个。本年完成项目投资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549924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下降8.9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全年房地产完成投资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161607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增长114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五、能源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全年规模以上工业企业能源消费量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144.47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万吨标准煤，增长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%；工业增加值能耗速度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下降5.8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%；工业生产电力消费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127316.72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万千瓦时，增长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10.38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六、贸易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全年全县社会消费品零售总额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333712.9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增长8.5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%。其中，城镇消费品零售额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155593.6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增长8.4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%；乡村消费品零售额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178119.3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增长8.6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四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年社会消费品零售总额及其增长速度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130165" cy="2926080"/>
            <wp:effectExtent l="0" t="0" r="13335" b="7620"/>
            <wp:docPr id="7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jc w:val="both"/>
        <w:textAlignment w:val="auto"/>
        <w:rPr>
          <w:rFonts w:asci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备注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:2020年增速为调整后速度。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5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年社会消费品零售总额及其增长速度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0" w:firstLineChars="200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</w:t>
      </w:r>
    </w:p>
    <w:tbl>
      <w:tblPr>
        <w:tblStyle w:val="7"/>
        <w:tblpPr w:leftFromText="180" w:rightFromText="180" w:vertAnchor="text" w:horzAnchor="page" w:tblpXSpec="center" w:tblpY="449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2227"/>
        <w:gridCol w:w="1482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9" w:hRule="atLeast"/>
          <w:jc w:val="center"/>
        </w:trPr>
        <w:tc>
          <w:tcPr>
            <w:tcW w:w="4085" w:type="dxa"/>
            <w:tcBorders>
              <w:top w:val="single" w:color="auto" w:sz="12" w:space="0"/>
              <w:left w:val="nil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    标</w:t>
            </w:r>
          </w:p>
        </w:tc>
        <w:tc>
          <w:tcPr>
            <w:tcW w:w="2227" w:type="dxa"/>
            <w:tcBorders>
              <w:top w:val="single" w:color="auto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>绝对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值</w:t>
            </w:r>
          </w:p>
        </w:tc>
        <w:tc>
          <w:tcPr>
            <w:tcW w:w="2427" w:type="dxa"/>
            <w:gridSpan w:val="2"/>
            <w:tcBorders>
              <w:top w:val="single" w:color="auto" w:sz="12" w:space="0"/>
              <w:left w:val="single" w:color="000000" w:sz="2" w:space="0"/>
              <w:bottom w:val="single" w:color="000000" w:sz="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比上年增长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4085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社会消费品零售总额</w:t>
            </w:r>
          </w:p>
        </w:tc>
        <w:tc>
          <w:tcPr>
            <w:tcW w:w="2227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333712.9</w:t>
            </w:r>
          </w:p>
        </w:tc>
        <w:tc>
          <w:tcPr>
            <w:tcW w:w="1482" w:type="dxa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8.5</w:t>
            </w:r>
          </w:p>
        </w:tc>
        <w:tc>
          <w:tcPr>
            <w:tcW w:w="945" w:type="dxa"/>
            <w:tcBorders>
              <w:top w:val="single" w:color="000000" w:sz="2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其中</w:t>
            </w:r>
            <w:r>
              <w:rPr>
                <w:rFonts w:hint="eastAsia" w:ascii="宋体"/>
                <w:color w:val="auto"/>
                <w:sz w:val="24"/>
              </w:rPr>
              <w:t>：城 镇</w:t>
            </w:r>
          </w:p>
        </w:tc>
        <w:tc>
          <w:tcPr>
            <w:tcW w:w="2227" w:type="dxa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155593.6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 xml:space="preserve">    乡 村</w:t>
            </w:r>
          </w:p>
        </w:tc>
        <w:tc>
          <w:tcPr>
            <w:tcW w:w="2227" w:type="dxa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178119.3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nil"/>
              <w:right w:val="single" w:color="000000" w:sz="2" w:space="0"/>
            </w:tcBorders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其中：限额以上</w:t>
            </w:r>
          </w:p>
        </w:tc>
        <w:tc>
          <w:tcPr>
            <w:tcW w:w="2227" w:type="dxa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34209.3</w:t>
            </w:r>
          </w:p>
        </w:tc>
        <w:tc>
          <w:tcPr>
            <w:tcW w:w="1482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085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 xml:space="preserve">    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限额以下</w:t>
            </w:r>
          </w:p>
        </w:tc>
        <w:tc>
          <w:tcPr>
            <w:tcW w:w="2227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299503.6</w:t>
            </w:r>
          </w:p>
        </w:tc>
        <w:tc>
          <w:tcPr>
            <w:tcW w:w="1482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7.8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全年全县批发业完成销售额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1070538.6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下降22.3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%；零售业完成销售额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218926.5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%；住宿业完成营业额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4146.2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%；餐饮业完成营业额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48019.6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七、交通、邮电和旅游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年末全县公路线路通车里程达到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948.3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公里。其中，省级公路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93.1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公里，县乡级公路44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全年全县完成邮电业务收入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19854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%。其中，邮政业务收入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2681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%；电信业务收入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17173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%。年末全县互联网用户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106253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户，增长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%。移动电话用户达到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299245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户，增长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全县共有名胜风景区和文物保护单位243个。接待国内外游客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32.2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万人次；实现旅游收入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八、金融</w:t>
      </w:r>
    </w:p>
    <w:p>
      <w:pPr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年末全县金融机构各项存款余额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2339973.85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11.84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%。各项贷款余额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1355096.73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6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年年末金融机构存贷款及其增长速度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0" w:firstLineChars="2000"/>
        <w:textAlignment w:val="auto"/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%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1643"/>
        <w:gridCol w:w="548"/>
        <w:gridCol w:w="1769"/>
        <w:gridCol w:w="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    标</w:t>
            </w:r>
          </w:p>
        </w:tc>
        <w:tc>
          <w:tcPr>
            <w:tcW w:w="219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绝对值</w:t>
            </w:r>
          </w:p>
        </w:tc>
        <w:tc>
          <w:tcPr>
            <w:tcW w:w="20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比上年增长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20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各项存款余额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2339973.85</w:t>
            </w:r>
          </w:p>
        </w:tc>
        <w:tc>
          <w:tcPr>
            <w:tcW w:w="548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ind w:right="36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11.84</w:t>
            </w:r>
          </w:p>
        </w:tc>
        <w:tc>
          <w:tcPr>
            <w:tcW w:w="239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200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各项贷款余额</w:t>
            </w:r>
          </w:p>
        </w:tc>
        <w:tc>
          <w:tcPr>
            <w:tcW w:w="1643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1355096.73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9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ordWrap w:val="0"/>
              <w:spacing w:line="360" w:lineRule="auto"/>
              <w:ind w:right="240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19.44 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九、教育和科学技术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年末全县各级各类学校共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所。其中，高级中学3所，初级中学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所，职业中学1所，教师进修学校1所，九年一贯制学校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所，特殊教育学校1所，小学5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所。全县在校学生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39652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人，教职工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3446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人。202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年高考二本达线人数1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hAnsi="仿宋_GB2312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color w:val="auto"/>
          <w:sz w:val="32"/>
          <w:szCs w:val="32"/>
        </w:rPr>
        <w:t>表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7  </w:t>
      </w:r>
      <w:r>
        <w:rPr>
          <w:rFonts w:hint="eastAsia"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年各类教育发展情况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7040" w:firstLineChars="2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单位：人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2254"/>
        <w:gridCol w:w="1845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指   标</w:t>
            </w:r>
          </w:p>
        </w:tc>
        <w:tc>
          <w:tcPr>
            <w:tcW w:w="2254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招生</w:t>
            </w:r>
          </w:p>
        </w:tc>
        <w:tc>
          <w:tcPr>
            <w:tcW w:w="1845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在校生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5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</w:rPr>
              <w:t>职业</w:t>
            </w:r>
            <w:r>
              <w:rPr>
                <w:rFonts w:hint="eastAsia" w:ascii="宋体"/>
                <w:color w:val="auto"/>
                <w:sz w:val="24"/>
                <w:lang w:eastAsia="zh-CN"/>
              </w:rPr>
              <w:t>高中</w:t>
            </w:r>
          </w:p>
        </w:tc>
        <w:tc>
          <w:tcPr>
            <w:tcW w:w="225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 xml:space="preserve"> 456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1150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54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普通高中</w:t>
            </w:r>
          </w:p>
        </w:tc>
        <w:tc>
          <w:tcPr>
            <w:tcW w:w="225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1117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4718</w:t>
            </w:r>
          </w:p>
        </w:tc>
        <w:tc>
          <w:tcPr>
            <w:tcW w:w="1985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1692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54" w:type="dxa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初  中</w:t>
            </w:r>
          </w:p>
        </w:tc>
        <w:tc>
          <w:tcPr>
            <w:tcW w:w="225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3035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9355</w:t>
            </w:r>
          </w:p>
        </w:tc>
        <w:tc>
          <w:tcPr>
            <w:tcW w:w="1985" w:type="dxa"/>
            <w:tcBorders>
              <w:top w:val="nil"/>
              <w:left w:val="single" w:color="auto" w:sz="6" w:space="0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54" w:type="dxa"/>
            <w:tcBorders>
              <w:top w:val="nil"/>
              <w:left w:val="nil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小  学</w:t>
            </w:r>
          </w:p>
        </w:tc>
        <w:tc>
          <w:tcPr>
            <w:tcW w:w="2254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2654</w:t>
            </w:r>
          </w:p>
        </w:tc>
        <w:tc>
          <w:tcPr>
            <w:tcW w:w="1845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/>
                <w:color w:val="auto"/>
                <w:sz w:val="24"/>
                <w:lang w:val="en-US"/>
              </w:rPr>
            </w:pPr>
            <w:r>
              <w:rPr>
                <w:rFonts w:hint="eastAsia" w:ascii="宋体" w:eastAsia="宋体"/>
                <w:color w:val="auto"/>
                <w:sz w:val="24"/>
                <w:lang w:val="en-US" w:eastAsia="zh-CN"/>
              </w:rPr>
              <w:t>16916</w:t>
            </w:r>
          </w:p>
        </w:tc>
        <w:tc>
          <w:tcPr>
            <w:tcW w:w="1985" w:type="dxa"/>
            <w:tcBorders>
              <w:top w:val="nil"/>
              <w:left w:val="single" w:color="auto" w:sz="6" w:space="0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spacing w:line="360" w:lineRule="auto"/>
              <w:jc w:val="right"/>
              <w:rPr>
                <w:rFonts w:asci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lang w:val="en-US" w:eastAsia="zh-CN"/>
              </w:rPr>
              <w:t>3300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  十、文化、卫生和体育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年末全县共有艺术表演团体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个，文化馆1个，公共图书馆1个，公共图书馆藏书量2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万册，档案馆1个，农村书屋实现行政村全覆盖。全县广播电视台1座，年末全县接收数字信号用户达到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18790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户，电视综合人口覆盖率8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年末全县共有医疗卫生机构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个。其中，医院、卫生院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个，采供血机构1个，妇幼保健机构1个，疾病预防控制中心（防疫站）1个，卫生监督机构1个。病床位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1646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张，其中，医院、卫生院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1236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张。卫生技术人员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2521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人。其中，执业医师和执业助理医师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人，注册护士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人，药剂人员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人。乡镇卫生院1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个，床位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张，卫生技术人员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489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全县成立乡镇体育工作站1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个，各类体育协会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个，基层健身辅导站31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个，各级社会体育指导员11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人。全年共参加市级以上活动比赛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次，获得各类奖项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十一、人民生活和社会保障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7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全年城镇居民人均可支配收入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40759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%；农村居民人均可支配收入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22150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元，同比增长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五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年城镇居民人均可支配收入及其增长速度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539740" cy="3488690"/>
            <wp:effectExtent l="0" t="0" r="3810" b="16510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图</w:t>
      </w:r>
      <w:r>
        <w:rPr>
          <w:rFonts w:ascii="黑体" w:eastAsia="黑体" w:cs="黑体"/>
          <w:color w:val="auto"/>
          <w:sz w:val="32"/>
          <w:szCs w:val="32"/>
        </w:rPr>
        <w:t>六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32"/>
          <w:szCs w:val="32"/>
        </w:rPr>
        <w:t>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—202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color w:val="auto"/>
          <w:sz w:val="32"/>
          <w:szCs w:val="32"/>
        </w:rPr>
        <w:t>年农村居民人均可支配收入及其增长速度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</w:rPr>
        <w:drawing>
          <wp:inline distT="0" distB="0" distL="114300" distR="114300">
            <wp:extent cx="5578475" cy="3263265"/>
            <wp:effectExtent l="0" t="0" r="3175" b="13335"/>
            <wp:docPr id="9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年末全县城镇职工基本保险参保人数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40515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人。其中，企业基本养老保险人数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29884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人，机关事业单位基本养老保险人数</w:t>
      </w:r>
      <w:r>
        <w:rPr>
          <w:rFonts w:ascii="仿宋_GB2312" w:eastAsia="仿宋_GB2312" w:cs="仿宋_GB2312"/>
          <w:color w:val="auto"/>
          <w:sz w:val="32"/>
          <w:szCs w:val="32"/>
        </w:rPr>
        <w:t>10631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人。年末全县城镇职工基本医疗保险参保人数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32271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人，城乡居民基本医疗保险参保人数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281602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人。参加失业保险   3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3156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人。参加工伤保险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51815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全年全县纳入城镇最低生活保障的居民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739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人，发放城镇低保资金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526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万元；纳入农村最低生活保障的居民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8273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人，发放农村低保资金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4844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十二、县城建设、资源、环境和安全生产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年末全县城市建成区面积941万平方米。年末建成区绿化覆盖面积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386.7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万平方米，建成区绿化覆盖率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41.09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%，人均公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园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绿地面积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13.29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平方米。年末实有县城免费公交车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辆，出租汽车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辆。县区有公园4座，总面积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112.51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全年供水总量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466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万吨，人均日生活用水量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143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升。全年液化气供气总量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720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吨，天然气供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气总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6397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万立方米。县城集中供热面积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614.3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万平方米。其中，住宅供热面积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477.9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万平方米。县城污水处理能力40000吨/日，全年污水处理量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705.9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万吨。生活垃圾年处理量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万吨，无害化处理率达到100%。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年末全县耕地保有量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699295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亩，森林面积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16318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公顷，森林覆盖率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15.8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%。本年度检查验收合格造林面积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333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公顷。全年植树量1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万株，其中，义务植树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年末全县大中型水库蓄水总量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1645.1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万立方米，全年总用水量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502.6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万立方米，其中，生活用水量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456.6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全年县城空气质量二级以上天数达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天。其中，一级天数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全县亿元GDP生产安全事故死亡率为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0.01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。煤炭百万吨死亡率为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。全年发生火灾事故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起，直接损失金额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185.7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万元。全年共发生道路交通事故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4665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起，造成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人死亡、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人受伤，直接财产损失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21.9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公报注释：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1.本公报部分数据为初步统计数据。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2.地区生产总值、各产业增加值绝对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值</w:t>
      </w:r>
      <w:r>
        <w:rPr>
          <w:rFonts w:hint="eastAsia" w:ascii="楷体_GB2312" w:eastAsia="楷体_GB2312" w:cs="楷体_GB2312"/>
          <w:color w:val="auto"/>
          <w:sz w:val="32"/>
          <w:szCs w:val="32"/>
        </w:rPr>
        <w:t>按现价计算，增长速度按不变价计算。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3.所有增长或下降速度均为同上年相比较。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4.部分数据因四舍五入的原因，存在与分项合计不等的情况。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40" w:firstLineChars="200"/>
        <w:textAlignment w:val="auto"/>
        <w:rPr>
          <w:rFonts w:asci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5.规模以上工业企业统计标准为年主营业务收入2000万元及以上；固定资产投资统计起点为项目计划总投资500万元；限额以上批发零售住宿餐饮企业是指年主营业务收入在2000万元及以上的批发企业和年主营业务收入在500万元及以上的零售企业，以及年营业额在200万元及以上的住宿餐饮企业</w:t>
      </w:r>
      <w:r>
        <w:rPr>
          <w:rFonts w:hint="eastAsia" w:ascii="楷体_GB2312" w:eastAsia="楷体_GB2312" w:cs="楷体_GB2312"/>
          <w:color w:val="auto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814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000" cy="197485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97357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eastAsia="仿宋" w:cs="仿宋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5.55pt;width:3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F41R1QAAAAMBAAAPAAAAAAAAAAEAIAAAACIAAABkcnMvZG93&#10;bnJldi54bWxQSwECFAAUAAAACACHTuJA1PJybAMCAAD1AwAADgAAAAAAAAABACAAAAAk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eastAsia="仿宋" w:cs="仿宋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2M4ODk1M2U0ZWE1N2RkNmJjYzUxOWJkMjRmMDFjYmMifQ=="/>
  </w:docVars>
  <w:rsids>
    <w:rsidRoot w:val="00000000"/>
    <w:rsid w:val="3F487147"/>
    <w:rsid w:val="40A93473"/>
    <w:rsid w:val="40D2346E"/>
    <w:rsid w:val="4FA9009A"/>
    <w:rsid w:val="FB579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autoRedefine/>
    <w:qFormat/>
    <w:uiPriority w:val="0"/>
    <w:pPr>
      <w:jc w:val="center"/>
    </w:pPr>
    <w:rPr>
      <w:rFonts w:ascii="宋体" w:eastAsia="宋体" w:cs="宋体"/>
      <w:lang w:val="lv-LV" w:eastAsia="lv-LV" w:bidi="lv-LV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5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561737"/>
          <c:y val="0.17687277"/>
          <c:w val="0.75042063"/>
          <c:h val="0.689298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地区生产总值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0015016894"/>
                  <c:y val="0.0313229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17547556"/>
                  <c:y val="0.02656720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48846677"/>
                  <c:y val="0.02930800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0033789"/>
                  <c:y val="0.0298236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{174.6,179.6,252.5,299.9,302.7}</c:f>
              <c:numCache>
                <c:formatCode>General</c:formatCode>
                <c:ptCount val="5"/>
                <c:pt idx="0">
                  <c:v>174.6</c:v>
                </c:pt>
                <c:pt idx="1">
                  <c:v>179.6</c:v>
                </c:pt>
                <c:pt idx="2">
                  <c:v>252.5</c:v>
                </c:pt>
                <c:pt idx="3">
                  <c:v>299.9</c:v>
                </c:pt>
                <c:pt idx="4">
                  <c:v>302.7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0"/>
        <c:axId val="1"/>
      </c:barChart>
      <c:lineChart>
        <c:grouping val="standard"/>
        <c:varyColors val="0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{9.4,6.6,11.5,6.2,8.2}</c:f>
              <c:numCache>
                <c:formatCode>General</c:formatCode>
                <c:ptCount val="5"/>
                <c:pt idx="0">
                  <c:v>9.4</c:v>
                </c:pt>
                <c:pt idx="1">
                  <c:v>6.6</c:v>
                </c:pt>
                <c:pt idx="2">
                  <c:v>11.5</c:v>
                </c:pt>
                <c:pt idx="3">
                  <c:v>6.2</c:v>
                </c:pt>
                <c:pt idx="4">
                  <c:v>8.2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"/>
        <c:axId val="3"/>
      </c:lineChart>
      <c:catAx>
        <c:axId val="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9034762"/>
              <c:y val="0.07371226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3"/>
        <c:crosses val="autoZero"/>
        <c:auto val="1"/>
        <c:lblAlgn val="ctr"/>
        <c:lblOffset val="100"/>
        <c:noMultiLvlLbl val="0"/>
      </c:catAx>
      <c:valAx>
        <c:axId val="3"/>
        <c:scaling>
          <c:orientation val="minMax"/>
          <c:max val="24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8806397"/>
              <c:y val="0.07073032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  <c:majorUnit val="4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3085"/>
          <c:y val="0.0325"/>
          <c:w val="0.3825"/>
          <c:h val="0.08"/>
        </c:manualLayout>
      </c:layout>
      <c:overlay val="0"/>
      <c:spPr>
        <a:noFill/>
        <a:ln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panose="02010600030101010101" charset="-122"/>
              <a:cs typeface="Arial" panose="020B0604020202020204" pitchFamily="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Arial" panose="020B0604020202020204" pitchFamily="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4138766"/>
          <c:y val="0.08342854"/>
          <c:w val="0.8544807"/>
          <c:h val="0.8345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一般公共预算收入</c:f>
              <c:strCache>
                <c:ptCount val="1"/>
                <c:pt idx="0">
                  <c:v>一般公共预算收入</c:v>
                </c:pt>
              </c:strCache>
            </c:strRef>
          </c:tx>
          <c:spPr>
            <a:solidFill>
              <a:srgbClr val="E796F5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0029383919"/>
                  <c:y val="0.01781379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1666666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1111111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39694393"/>
                  <c:y val="0.01608833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{15.3,15.95,18.86,29.52,29.66}</c:f>
              <c:numCache>
                <c:formatCode>General</c:formatCode>
                <c:ptCount val="5"/>
                <c:pt idx="0">
                  <c:v>15.3</c:v>
                </c:pt>
                <c:pt idx="1">
                  <c:v>15.95</c:v>
                </c:pt>
                <c:pt idx="2">
                  <c:v>18.86</c:v>
                </c:pt>
                <c:pt idx="3">
                  <c:v>29.52</c:v>
                </c:pt>
                <c:pt idx="4">
                  <c:v>29.66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0"/>
        <c:axId val="1"/>
      </c:barChart>
      <c:lineChart>
        <c:grouping val="standard"/>
        <c:varyColors val="0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{14.8,4.26,18.22,56.54,0.49}</c:f>
              <c:numCache>
                <c:formatCode>General</c:formatCode>
                <c:ptCount val="5"/>
                <c:pt idx="0">
                  <c:v>14.8</c:v>
                </c:pt>
                <c:pt idx="1">
                  <c:v>4.26</c:v>
                </c:pt>
                <c:pt idx="2">
                  <c:v>18.22</c:v>
                </c:pt>
                <c:pt idx="3">
                  <c:v>56.54</c:v>
                </c:pt>
                <c:pt idx="4">
                  <c:v>0.49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"/>
        <c:axId val="3"/>
      </c:lineChart>
      <c:catAx>
        <c:axId val="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6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60088094"/>
              <c:y val="0.01829832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  <c:majorUnit val="6"/>
      </c:valAx>
      <c:catAx>
        <c:axId val="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3"/>
        <c:crosses val="autoZero"/>
        <c:auto val="1"/>
        <c:lblAlgn val="ctr"/>
        <c:lblOffset val="100"/>
        <c:noMultiLvlLbl val="0"/>
      </c:catAx>
      <c:valAx>
        <c:axId val="3"/>
        <c:scaling>
          <c:orientation val="minMax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92366815"/>
              <c:y val="0.025445022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8675"/>
          <c:y val="0.0325"/>
          <c:w val="0.426"/>
          <c:h val="0.08"/>
        </c:manualLayout>
      </c:layout>
      <c:overlay val="0"/>
      <c:spPr>
        <a:noFill/>
        <a:ln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panose="02010600030101010101" charset="-122"/>
              <a:cs typeface="Arial" panose="020B0604020202020204" pitchFamily="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Arial" panose="020B0604020202020204" pitchFamily="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67707"/>
          <c:y val="0.16150923"/>
          <c:w val="0.76046133"/>
          <c:h val="0.71872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固定资产投资</c:f>
              <c:strCache>
                <c:ptCount val="1"/>
                <c:pt idx="0">
                  <c:v>固定资产投资</c:v>
                </c:pt>
              </c:strCache>
            </c:strRef>
          </c:tx>
          <c:spPr>
            <a:solidFill>
              <a:srgbClr val="5B9BD5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0016282225"/>
                  <c:y val="0.02931596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39087947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931596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2605863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{69.94,77.6,61.5,67.9,71.2}</c:f>
              <c:numCache>
                <c:formatCode>General</c:formatCode>
                <c:ptCount val="5"/>
                <c:pt idx="0">
                  <c:v>69.94</c:v>
                </c:pt>
                <c:pt idx="1">
                  <c:v>77.6</c:v>
                </c:pt>
                <c:pt idx="2">
                  <c:v>61.5</c:v>
                </c:pt>
                <c:pt idx="3">
                  <c:v>67.9</c:v>
                </c:pt>
                <c:pt idx="4">
                  <c:v>71.2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0"/>
        <c:axId val="1"/>
      </c:barChart>
      <c:lineChart>
        <c:grouping val="standard"/>
        <c:varyColors val="0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{8.1,11,-20.8,10.4,4.8}</c:f>
              <c:numCache>
                <c:formatCode>General</c:formatCode>
                <c:ptCount val="5"/>
                <c:pt idx="0">
                  <c:v>8.1</c:v>
                </c:pt>
                <c:pt idx="1">
                  <c:v>11</c:v>
                </c:pt>
                <c:pt idx="2">
                  <c:v>-20.8</c:v>
                </c:pt>
                <c:pt idx="3">
                  <c:v>10.4</c:v>
                </c:pt>
                <c:pt idx="4">
                  <c:v>4.8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"/>
        <c:axId val="3"/>
      </c:lineChart>
      <c:catAx>
        <c:axId val="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80"/>
          <c:min val="-4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7869742"/>
              <c:y val="0.0638806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3"/>
        <c:crosses val="autoZero"/>
        <c:auto val="1"/>
        <c:lblAlgn val="ctr"/>
        <c:lblOffset val="100"/>
        <c:noMultiLvlLbl val="0"/>
      </c:catAx>
      <c:valAx>
        <c:axId val="3"/>
        <c:scaling>
          <c:orientation val="minMax"/>
          <c:max val="60"/>
          <c:min val="-3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89877886"/>
              <c:y val="0.06360923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  <c:majorUnit val="15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3085"/>
          <c:y val="0.0325"/>
          <c:w val="0.3825"/>
          <c:h val="0.08"/>
        </c:manualLayout>
      </c:layout>
      <c:overlay val="0"/>
      <c:spPr>
        <a:noFill/>
        <a:ln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panose="02010600030101010101" charset="-122"/>
              <a:cs typeface="Arial" panose="020B0604020202020204" pitchFamily="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Arial" panose="020B0604020202020204" pitchFamily="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44098"/>
          <c:y val="0.15912262"/>
          <c:w val="0.75381273"/>
          <c:h val="0.778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社会消费品零售总额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0016282225"/>
                  <c:y val="0.019543974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26058631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.02605509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2279865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{22.7,27.05,31.1,30.8,33.4}</c:f>
              <c:numCache>
                <c:formatCode>General</c:formatCode>
                <c:ptCount val="5"/>
                <c:pt idx="0">
                  <c:v>22.7</c:v>
                </c:pt>
                <c:pt idx="1">
                  <c:v>27.05</c:v>
                </c:pt>
                <c:pt idx="2">
                  <c:v>31.1</c:v>
                </c:pt>
                <c:pt idx="3">
                  <c:v>30.8</c:v>
                </c:pt>
                <c:pt idx="4">
                  <c:v>33.4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0"/>
        <c:axId val="1"/>
      </c:barChart>
      <c:lineChart>
        <c:grouping val="standard"/>
        <c:varyColors val="0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C0504D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{8,-5,14.9,-1,8.5}</c:f>
              <c:numCache>
                <c:formatCode>General</c:formatCode>
                <c:ptCount val="5"/>
                <c:pt idx="0">
                  <c:v>8</c:v>
                </c:pt>
                <c:pt idx="1">
                  <c:v>-5</c:v>
                </c:pt>
                <c:pt idx="2">
                  <c:v>14.9</c:v>
                </c:pt>
                <c:pt idx="3">
                  <c:v>-1</c:v>
                </c:pt>
                <c:pt idx="4">
                  <c:v>8.5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"/>
        <c:axId val="3"/>
      </c:lineChart>
      <c:catAx>
        <c:axId val="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-1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亿元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097181134"/>
              <c:y val="0.062664226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3"/>
        <c:crosses val="autoZero"/>
        <c:auto val="1"/>
        <c:lblAlgn val="ctr"/>
        <c:lblOffset val="100"/>
        <c:noMultiLvlLbl val="0"/>
      </c:catAx>
      <c:valAx>
        <c:axId val="3"/>
        <c:scaling>
          <c:orientation val="minMax"/>
          <c:max val="21"/>
          <c:min val="-6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8736483"/>
              <c:y val="0.058210045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  <c:majorUnit val="3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7575"/>
          <c:y val="0.0325"/>
          <c:w val="0.44825"/>
          <c:h val="0.08"/>
        </c:manualLayout>
      </c:layout>
      <c:overlay val="0"/>
      <c:spPr>
        <a:noFill/>
        <a:ln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panose="02010600030101010101" charset="-122"/>
              <a:cs typeface="Arial" panose="020B0604020202020204" pitchFamily="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Arial" panose="020B0604020202020204" pitchFamily="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城镇居民人均可支配收入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rgbClr val="E56AE6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.005"/>
                  <c:y val="0.01388888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016666667"/>
                  <c:y val="0.02222222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6666667"/>
                  <c:y val="0.019444445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388888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{32386,33875,36450,38855,40759}</c:f>
              <c:numCache>
                <c:formatCode>General</c:formatCode>
                <c:ptCount val="5"/>
                <c:pt idx="0">
                  <c:v>32386</c:v>
                </c:pt>
                <c:pt idx="1">
                  <c:v>33875</c:v>
                </c:pt>
                <c:pt idx="2">
                  <c:v>36450</c:v>
                </c:pt>
                <c:pt idx="3">
                  <c:v>38855</c:v>
                </c:pt>
                <c:pt idx="4">
                  <c:v>40759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0"/>
        <c:axId val="1"/>
      </c:barChart>
      <c:lineChart>
        <c:grouping val="standard"/>
        <c:varyColors val="0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FFFFFE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{7.8,4.6,7.6,6.6,4.9}</c:f>
              <c:numCache>
                <c:formatCode>General</c:formatCode>
                <c:ptCount val="5"/>
                <c:pt idx="0">
                  <c:v>7.8</c:v>
                </c:pt>
                <c:pt idx="1">
                  <c:v>4.6</c:v>
                </c:pt>
                <c:pt idx="2">
                  <c:v>7.6</c:v>
                </c:pt>
                <c:pt idx="3">
                  <c:v>6.6</c:v>
                </c:pt>
                <c:pt idx="4">
                  <c:v>4.9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"/>
        <c:axId val="3"/>
      </c:lineChart>
      <c:catAx>
        <c:axId val="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元</a:t>
                </a:r>
                <a:endParaRPr lang="zh-CN"/>
              </a:p>
            </c:rich>
          </c:tx>
          <c:layout/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595959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3"/>
        <c:crosses val="autoZero"/>
        <c:auto val="1"/>
        <c:lblAlgn val="ctr"/>
        <c:lblOffset val="100"/>
        <c:noMultiLvlLbl val="0"/>
      </c:catAx>
      <c:valAx>
        <c:axId val="3"/>
        <c:scaling>
          <c:orientation val="minMax"/>
          <c:max val="18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/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5425"/>
          <c:y val="0.0325"/>
          <c:w val="0.491"/>
          <c:h val="0.08"/>
        </c:manualLayout>
      </c:layout>
      <c:overlay val="0"/>
      <c:spPr>
        <a:noFill/>
        <a:ln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panose="02010600030101010101" charset="-122"/>
              <a:cs typeface="Arial" panose="020B0604020202020204" pitchFamily="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Arial" panose="020B0604020202020204" pitchFamily="2"/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农村居民人均可支配收入</c:f>
              <c:strCache>
                <c:ptCount val="1"/>
                <c:pt idx="0">
                  <c:v>农村居民人均可支配收入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0.0260515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016666668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6666667"/>
                  <c:y val="0.013888889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4739937"/>
                  <c:y val="0.019828886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00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{15896,17120,18798,20302,22150}</c:f>
              <c:numCache>
                <c:formatCode>General</c:formatCode>
                <c:ptCount val="5"/>
                <c:pt idx="0">
                  <c:v>15896</c:v>
                </c:pt>
                <c:pt idx="1">
                  <c:v>17120</c:v>
                </c:pt>
                <c:pt idx="2">
                  <c:v>18798</c:v>
                </c:pt>
                <c:pt idx="3">
                  <c:v>20302</c:v>
                </c:pt>
                <c:pt idx="4">
                  <c:v>22150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0"/>
        <c:axId val="1"/>
      </c:barChart>
      <c:lineChart>
        <c:grouping val="standard"/>
        <c:varyColors val="0"/>
        <c:ser>
          <c:idx val="1"/>
          <c:order val="1"/>
          <c:tx>
            <c:strRef>
              <c:f>比上年增长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5400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circle"/>
            <c:size val="5"/>
            <c:spPr>
              <a:solidFill>
                <a:srgbClr val="FF0000"/>
              </a:solidFill>
              <a:ln w="9525" cap="flat" cmpd="sng" algn="ctr">
                <a:solidFill>
                  <a:srgbClr val="FFFFFE"/>
                </a:solidFill>
                <a:prstDash val="solid"/>
                <a:round/>
              </a:ln>
            </c:spPr>
          </c:marker>
          <c:dLbls>
            <c:dLbl>
              <c:idx val="0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800" b="0" i="0" u="none" strike="noStrike" kern="1200" baseline="0">
                      <a:solidFill>
                        <a:srgbClr val="FF0000"/>
                      </a:solidFill>
                      <a:latin typeface="Times New Roman" panose="02020603050405020304"/>
                      <a:ea typeface="宋体" panose="02010600030101010101" charset="-122"/>
                      <a:cs typeface="Arial" panose="020B0604020202020204" pitchFamily="2"/>
                    </a:defRPr>
                  </a:pPr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FF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{2019,2020,2021,2022,2023}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{9.4,7.7,9.8,8,9.1}</c:f>
              <c:numCache>
                <c:formatCode>General</c:formatCode>
                <c:ptCount val="5"/>
                <c:pt idx="0">
                  <c:v>9.4</c:v>
                </c:pt>
                <c:pt idx="1">
                  <c:v>7.7</c:v>
                </c:pt>
                <c:pt idx="2">
                  <c:v>9.8</c:v>
                </c:pt>
                <c:pt idx="3">
                  <c:v>8</c:v>
                </c:pt>
                <c:pt idx="4">
                  <c:v>9.1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"/>
        <c:axId val="3"/>
      </c:lineChart>
      <c:catAx>
        <c:axId val="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元</a:t>
                </a:r>
                <a:endParaRPr lang="zh-CN"/>
              </a:p>
            </c:rich>
          </c:tx>
          <c:layout/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0"/>
        <c:crossesAt val="1"/>
        <c:crossBetween val="between"/>
      </c:valAx>
      <c:catAx>
        <c:axId val="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3"/>
        <c:crosses val="autoZero"/>
        <c:auto val="1"/>
        <c:lblAlgn val="ctr"/>
        <c:lblOffset val="100"/>
        <c:noMultiLvlLbl val="0"/>
      </c:catAx>
      <c:valAx>
        <c:axId val="3"/>
        <c:scaling>
          <c:orientation val="minMax"/>
          <c:max val="2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800" b="0" i="0" u="none" strike="noStrike" kern="1200" baseline="0">
                    <a:solidFill>
                      <a:srgbClr val="000000"/>
                    </a:solidFill>
                    <a:latin typeface="Times New Roman" panose="02020603050405020304"/>
                    <a:ea typeface="宋体" panose="02010600030101010101" charset="-122"/>
                    <a:cs typeface="Arial" panose="020B0604020202020204" pitchFamily="2"/>
                  </a:defRPr>
                </a:pPr>
                <a:r>
                  <a:rPr lang="zh-CN"/>
                  <a:t>%</a:t>
                </a:r>
                <a:endParaRPr lang="zh-CN"/>
              </a:p>
            </c:rich>
          </c:tx>
          <c:layout/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12700" cap="flat" cmpd="sng" algn="ctr">
            <a:solidFill>
              <a:srgbClr val="000000"/>
            </a:solidFill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  <c:crossAx val="2"/>
        <c:crosses val="max"/>
        <c:crossBetween val="between"/>
      </c:valAx>
      <c:spPr>
        <a:noFill/>
        <a:ln>
          <a:noFill/>
        </a:ln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rgbClr val="000000"/>
                </a:solidFill>
                <a:latin typeface="Times New Roman" panose="02020603050405020304"/>
                <a:ea typeface="宋体" panose="02010600030101010101" charset="-122"/>
                <a:cs typeface="Arial" panose="020B0604020202020204" pitchFamily="2"/>
              </a:defRPr>
            </a:pPr>
          </a:p>
        </c:txPr>
      </c:legendEntry>
      <c:layout>
        <c:manualLayout>
          <c:xMode val="edge"/>
          <c:yMode val="edge"/>
          <c:x val="0.25425"/>
          <c:y val="0.0325"/>
          <c:w val="0.491"/>
          <c:h val="0.08"/>
        </c:manualLayout>
      </c:layout>
      <c:overlay val="0"/>
      <c:spPr>
        <a:noFill/>
        <a:ln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800" b="0" i="0" u="none" strike="noStrike" kern="1200" baseline="0">
              <a:solidFill>
                <a:srgbClr val="000000"/>
              </a:solidFill>
              <a:latin typeface="Times New Roman" panose="02020603050405020304"/>
              <a:ea typeface="宋体" panose="02010600030101010101" charset="-122"/>
              <a:cs typeface="Arial" panose="020B0604020202020204" pitchFamily="2"/>
            </a:defRPr>
          </a:pPr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noFill/>
      <a:prstDash val="solid"/>
      <a:round/>
    </a:ln>
  </c:spPr>
  <c:txPr>
    <a:bodyPr/>
    <a:lstStyle/>
    <a:p>
      <a:pPr>
        <a:defRPr lang="zh-CN" sz="1000" b="0" i="0" u="none" strike="noStrike" baseline="0">
          <a:solidFill>
            <a:srgbClr val="000000"/>
          </a:solidFill>
          <a:latin typeface="Times New Roman" panose="02020603050405020304"/>
          <a:ea typeface="宋体" panose="02010600030101010101" charset="-122"/>
          <a:cs typeface="Arial" panose="020B0604020202020204" pitchFamily="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0</Words>
  <Characters>4925</Characters>
  <Lines>0</Lines>
  <Paragraphs>102</Paragraphs>
  <TotalTime>2</TotalTime>
  <ScaleCrop>false</ScaleCrop>
  <LinksUpToDate>false</LinksUpToDate>
  <CharactersWithSpaces>6567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2021-05-06T21:54:00Z</dcterms:created>
  <dc:creator>Administrator</dc:creator>
  <cp:lastModifiedBy>張雅華</cp:lastModifiedBy>
  <cp:lastPrinted>2024-03-15T09:57:00Z</cp:lastPrinted>
  <dcterms:modified xsi:type="dcterms:W3CDTF">2025-01-02T08:24:55Z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E91D305F5C834FF9AC244EC6C27E3059_13</vt:lpwstr>
  </property>
</Properties>
</file>